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880"/>
        <w:gridCol w:w="5190"/>
        <w:gridCol w:w="187"/>
        <w:gridCol w:w="111"/>
        <w:gridCol w:w="408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9827BA"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24F3B32" w:rsidR="00093CA9" w:rsidRPr="000332AF" w:rsidRDefault="00960D32" w:rsidP="00093CA9">
            <w:pPr>
              <w:rPr>
                <w:lang w:val="it-IT"/>
              </w:rPr>
            </w:pPr>
            <w:r w:rsidRPr="00960D32">
              <w:rPr>
                <w:lang w:val="it-IT"/>
              </w:rPr>
              <w:t xml:space="preserve">Cappelli Riolo Calderaro Crisostomo Del Din &amp; Partners </w:t>
            </w:r>
            <w:r w:rsidR="00940FD6">
              <w:rPr>
                <w:lang w:val="it-IT"/>
              </w:rPr>
              <w:t xml:space="preserve">Studio Legale </w:t>
            </w:r>
            <w:r w:rsidRPr="00960D32">
              <w:rPr>
                <w:lang w:val="it-IT"/>
              </w:rPr>
              <w:t>(CRCCD)</w:t>
            </w:r>
            <w:r w:rsidRPr="000332AF">
              <w:rPr>
                <w:lang w:val="it-IT"/>
              </w:rPr>
              <w:t> </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088E18" w:rsidR="00093CA9" w:rsidRPr="00960D32" w:rsidRDefault="00DD615F" w:rsidP="002C22F1">
            <w:pPr>
              <w:spacing w:before="0" w:after="0"/>
              <w:rPr>
                <w:rFonts w:cstheme="minorHAnsi"/>
                <w:color w:val="333333"/>
              </w:rPr>
            </w:pPr>
            <w:r w:rsidRPr="00DD615F">
              <w:rPr>
                <w:rFonts w:cstheme="minorHAnsi"/>
                <w:color w:val="333333"/>
              </w:rPr>
              <w:t>Legislative Decree (</w:t>
            </w:r>
            <w:r w:rsidR="009827BA">
              <w:rPr>
                <w:rFonts w:cstheme="minorHAnsi"/>
                <w:color w:val="333333"/>
              </w:rPr>
              <w:t>“</w:t>
            </w:r>
            <w:r w:rsidRPr="009827BA">
              <w:rPr>
                <w:rFonts w:cstheme="minorHAnsi"/>
                <w:i/>
                <w:iCs/>
                <w:color w:val="333333"/>
              </w:rPr>
              <w:t>Decreto legislativo</w:t>
            </w:r>
            <w:r w:rsidR="009827BA">
              <w:rPr>
                <w:rFonts w:cstheme="minorHAnsi"/>
                <w:color w:val="333333"/>
              </w:rPr>
              <w:t>”</w:t>
            </w:r>
            <w:r w:rsidRPr="00DD615F">
              <w:rPr>
                <w:rFonts w:cstheme="minorHAnsi"/>
                <w:color w:val="333333"/>
              </w:rPr>
              <w:t xml:space="preserve">) of 6 September 2024, </w:t>
            </w:r>
            <w:r w:rsidR="009827BA">
              <w:rPr>
                <w:rFonts w:cstheme="minorHAnsi"/>
                <w:color w:val="333333"/>
              </w:rPr>
              <w:t>No.</w:t>
            </w:r>
            <w:r w:rsidRPr="00DD615F">
              <w:rPr>
                <w:rFonts w:cstheme="minorHAnsi"/>
                <w:color w:val="333333"/>
              </w:rPr>
              <w:t xml:space="preserve"> 125</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880D6A1" w:rsidR="009827BA" w:rsidRDefault="009827BA" w:rsidP="009827BA">
            <w:hyperlink r:id="rId17" w:history="1">
              <w:r w:rsidRPr="00CC1EC6">
                <w:rPr>
                  <w:rStyle w:val="Collegamentoipertestuale"/>
                </w:rPr>
                <w:t>https://web.archive.org/web/20250707204732/https://www.gazzettaufficiale.it/eli/id/2019/11/28/19A07378/sg</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5CE2DCE" w:rsidR="00093CA9" w:rsidRDefault="00EE485A" w:rsidP="00093CA9">
            <w:r>
              <w:t>X</w:t>
            </w:r>
          </w:p>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9CED346" w14:textId="77777777" w:rsidR="00203AA5" w:rsidRDefault="00203AA5" w:rsidP="00203AA5">
            <w:pPr>
              <w:pStyle w:val="TextEntryLine"/>
              <w:rPr>
                <w:lang w:val="en-GB"/>
              </w:rPr>
            </w:pPr>
            <w:r w:rsidRPr="000332AF">
              <w:rPr>
                <w:lang w:val="en-GB"/>
              </w:rPr>
              <w:t xml:space="preserve">The policy tool aims at </w:t>
            </w:r>
            <w:bookmarkStart w:id="1" w:name="_cp_change_20"/>
            <w:r w:rsidRPr="000332AF">
              <w:rPr>
                <w:lang w:val="en-GB"/>
              </w:rPr>
              <w:t>transposing</w:t>
            </w:r>
            <w:bookmarkEnd w:id="1"/>
            <w:r w:rsidRPr="000332AF">
              <w:t xml:space="preserve"> </w:t>
            </w:r>
            <w:r w:rsidRPr="000332AF">
              <w:rPr>
                <w:lang w:val="en-GB"/>
              </w:rPr>
              <w:t>Directive (EU) 2022/2464 (</w:t>
            </w:r>
            <w:bookmarkStart w:id="2" w:name="_cp_change_22"/>
            <w:r w:rsidRPr="000332AF">
              <w:rPr>
                <w:lang w:val="en-GB"/>
              </w:rPr>
              <w:t>the so-called</w:t>
            </w:r>
            <w:bookmarkEnd w:id="2"/>
            <w:r w:rsidRPr="000332AF">
              <w:rPr>
                <w:lang w:val="en-GB"/>
              </w:rPr>
              <w:t xml:space="preserve"> Corporate Sustainability Reporting Directive or CSRD) </w:t>
            </w:r>
            <w:bookmarkStart w:id="3" w:name="_cp_change_28"/>
            <w:r w:rsidRPr="000332AF">
              <w:rPr>
                <w:lang w:val="en-GB"/>
              </w:rPr>
              <w:t xml:space="preserve">into Italian law. The </w:t>
            </w:r>
            <w:bookmarkEnd w:id="3"/>
            <w:r w:rsidRPr="000332AF">
              <w:rPr>
                <w:lang w:val="en-GB"/>
              </w:rPr>
              <w:t xml:space="preserve">CSRD is part of the European Green Deal and aims to promote transparency and disclosure of information by companies regarding the environmental, social, and governance (ESG) impacts of their activities, </w:t>
            </w:r>
            <w:bookmarkStart w:id="4" w:name="_cp_change_30"/>
            <w:r w:rsidRPr="000332AF">
              <w:rPr>
                <w:lang w:val="en-GB"/>
              </w:rPr>
              <w:t>by</w:t>
            </w:r>
            <w:bookmarkEnd w:id="4"/>
            <w:r w:rsidRPr="000332AF">
              <w:rPr>
                <w:lang w:val="en-GB"/>
              </w:rPr>
              <w:t xml:space="preserve"> strengthening of reporting obligations for companies.</w:t>
            </w:r>
          </w:p>
          <w:p w14:paraId="18257824" w14:textId="489A33C8" w:rsidR="000332AF" w:rsidRPr="000332AF" w:rsidRDefault="000332AF" w:rsidP="00203AA5">
            <w:pPr>
              <w:pStyle w:val="TextEntryLine"/>
              <w:rPr>
                <w:lang w:val="en-GB"/>
              </w:rPr>
            </w:pP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B144800" w:rsidR="00093CA9" w:rsidRDefault="001108B9"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41A48B53"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5BA13C9F" w14:textId="733B6050" w:rsidR="002D1B21" w:rsidRDefault="002D1B21" w:rsidP="00A372BF">
            <w:pPr>
              <w:jc w:val="both"/>
            </w:pPr>
            <w:r>
              <w:t>The policy tool is already in force, but its application follows a phased implementation schedule as set forth in article 17 of the decree.</w:t>
            </w:r>
          </w:p>
          <w:p w14:paraId="299B4883" w14:textId="77777777" w:rsidR="002D1B21" w:rsidRDefault="002D1B21" w:rsidP="00A372BF">
            <w:pPr>
              <w:jc w:val="both"/>
            </w:pPr>
            <w:r>
              <w:t>The decree establishes a staggered implementation timeline as follows:</w:t>
            </w:r>
          </w:p>
          <w:p w14:paraId="4EF4C7FF" w14:textId="7992EB62" w:rsidR="002D1B21" w:rsidRDefault="002D1B21" w:rsidP="00A372BF">
            <w:pPr>
              <w:jc w:val="both"/>
            </w:pPr>
            <w:r w:rsidRPr="00A372BF">
              <w:rPr>
                <w:b/>
                <w:bCs/>
              </w:rPr>
              <w:t>For financial years beginning on or after January 1, 2024</w:t>
            </w:r>
            <w:r w:rsidR="003118D6">
              <w:rPr>
                <w:b/>
                <w:bCs/>
              </w:rPr>
              <w:t>,</w:t>
            </w:r>
            <w:r w:rsidR="004B5002">
              <w:rPr>
                <w:b/>
                <w:bCs/>
              </w:rPr>
              <w:t xml:space="preserve"> it will apply to</w:t>
            </w:r>
            <w:r>
              <w:t>:</w:t>
            </w:r>
          </w:p>
          <w:p w14:paraId="3DE5377A" w14:textId="42282C1D" w:rsidR="002D1B21" w:rsidRDefault="002D1B21" w:rsidP="00A372BF">
            <w:pPr>
              <w:pStyle w:val="Paragrafoelenco"/>
              <w:numPr>
                <w:ilvl w:val="0"/>
                <w:numId w:val="50"/>
              </w:numPr>
              <w:ind w:left="714" w:hanging="357"/>
              <w:contextualSpacing w:val="0"/>
              <w:jc w:val="both"/>
            </w:pPr>
            <w:r>
              <w:t xml:space="preserve">Large </w:t>
            </w:r>
            <w:r w:rsidR="00144B8F">
              <w:t>enterprises</w:t>
            </w:r>
            <w:r>
              <w:t xml:space="preserve"> that are public-interest entities exceeding an average of 500 employees during the financial year</w:t>
            </w:r>
            <w:r w:rsidR="00FD7CCF">
              <w:t>; and</w:t>
            </w:r>
          </w:p>
          <w:p w14:paraId="1D8E1DE9" w14:textId="3D35580B" w:rsidR="002D1B21" w:rsidRDefault="002D1B21" w:rsidP="00A372BF">
            <w:pPr>
              <w:pStyle w:val="Paragrafoelenco"/>
              <w:numPr>
                <w:ilvl w:val="0"/>
                <w:numId w:val="50"/>
              </w:numPr>
              <w:ind w:left="714" w:hanging="357"/>
              <w:contextualSpacing w:val="0"/>
              <w:jc w:val="both"/>
            </w:pPr>
            <w:r>
              <w:t>Public-interest entities that are parent companies of a large group exceeding, on a consolidated basis, an average of 500 employees during the financial year</w:t>
            </w:r>
            <w:r w:rsidR="00767BB7">
              <w:t>.</w:t>
            </w:r>
          </w:p>
          <w:p w14:paraId="701E3E45" w14:textId="1D60328D" w:rsidR="002D1B21" w:rsidRDefault="002D1B21" w:rsidP="00A372BF">
            <w:pPr>
              <w:jc w:val="both"/>
            </w:pPr>
            <w:r w:rsidRPr="00A372BF">
              <w:rPr>
                <w:b/>
                <w:bCs/>
              </w:rPr>
              <w:t>For financial years beginning on or after January 1, 2025</w:t>
            </w:r>
            <w:r w:rsidR="003118D6">
              <w:rPr>
                <w:b/>
                <w:bCs/>
              </w:rPr>
              <w:t>, it will apply to</w:t>
            </w:r>
            <w:r>
              <w:t>:</w:t>
            </w:r>
          </w:p>
          <w:p w14:paraId="0681F782" w14:textId="439D0354" w:rsidR="002D1B21" w:rsidRDefault="003118D6" w:rsidP="00A372BF">
            <w:pPr>
              <w:pStyle w:val="Paragrafoelenco"/>
              <w:numPr>
                <w:ilvl w:val="0"/>
                <w:numId w:val="50"/>
              </w:numPr>
              <w:ind w:left="714" w:hanging="357"/>
              <w:contextualSpacing w:val="0"/>
              <w:jc w:val="both"/>
            </w:pPr>
            <w:r>
              <w:t>L</w:t>
            </w:r>
            <w:r w:rsidR="002D1B21">
              <w:t xml:space="preserve">arge </w:t>
            </w:r>
            <w:r>
              <w:t>enterprises</w:t>
            </w:r>
            <w:r w:rsidR="00AE2AF6">
              <w:t xml:space="preserve"> different from those referred to above</w:t>
            </w:r>
            <w:r w:rsidR="00767BB7">
              <w:t>; and</w:t>
            </w:r>
          </w:p>
          <w:p w14:paraId="4300E5BB" w14:textId="35F3BBC8" w:rsidR="002D1B21" w:rsidRDefault="002D1B21" w:rsidP="00A372BF">
            <w:pPr>
              <w:pStyle w:val="Paragrafoelenco"/>
              <w:numPr>
                <w:ilvl w:val="0"/>
                <w:numId w:val="50"/>
              </w:numPr>
              <w:ind w:left="714" w:hanging="357"/>
              <w:contextualSpacing w:val="0"/>
              <w:jc w:val="both"/>
            </w:pPr>
            <w:r>
              <w:t xml:space="preserve">Other parent companies </w:t>
            </w:r>
            <w:r w:rsidR="00AE2AF6">
              <w:t>different from those referred to above</w:t>
            </w:r>
            <w:r w:rsidR="00767BB7">
              <w:t>.</w:t>
            </w:r>
          </w:p>
          <w:p w14:paraId="147A16EB" w14:textId="2AB4B778" w:rsidR="002D1B21" w:rsidRDefault="002D1B21" w:rsidP="00A372BF">
            <w:pPr>
              <w:jc w:val="both"/>
            </w:pPr>
            <w:r w:rsidRPr="00A372BF">
              <w:rPr>
                <w:b/>
                <w:bCs/>
              </w:rPr>
              <w:t>For financial years beginning on or after January 1, 2026</w:t>
            </w:r>
            <w:r w:rsidR="00F95E3F">
              <w:rPr>
                <w:b/>
                <w:bCs/>
              </w:rPr>
              <w:t>, it will apply to</w:t>
            </w:r>
            <w:r>
              <w:t>:</w:t>
            </w:r>
          </w:p>
          <w:p w14:paraId="3C55D15F" w14:textId="73FB8BC9" w:rsidR="002D1B21" w:rsidRDefault="002D1B21" w:rsidP="00A372BF">
            <w:pPr>
              <w:pStyle w:val="Paragrafoelenco"/>
              <w:numPr>
                <w:ilvl w:val="0"/>
                <w:numId w:val="50"/>
              </w:numPr>
              <w:ind w:left="714" w:hanging="357"/>
              <w:contextualSpacing w:val="0"/>
              <w:jc w:val="both"/>
            </w:pPr>
            <w:r>
              <w:t xml:space="preserve">Listed </w:t>
            </w:r>
            <w:r w:rsidR="00F95E3F">
              <w:t>SME</w:t>
            </w:r>
            <w:r>
              <w:t xml:space="preserve"> (except micro-enterprises)</w:t>
            </w:r>
            <w:r w:rsidR="00767BB7">
              <w:t xml:space="preserve">; </w:t>
            </w:r>
          </w:p>
          <w:p w14:paraId="434DF018" w14:textId="077B6BCD" w:rsidR="002D1B21" w:rsidRDefault="002D1B21" w:rsidP="00A372BF">
            <w:pPr>
              <w:pStyle w:val="Paragrafoelenco"/>
              <w:numPr>
                <w:ilvl w:val="0"/>
                <w:numId w:val="50"/>
              </w:numPr>
              <w:ind w:left="714" w:hanging="357"/>
              <w:contextualSpacing w:val="0"/>
              <w:jc w:val="both"/>
            </w:pPr>
            <w:r>
              <w:lastRenderedPageBreak/>
              <w:t xml:space="preserve">Small and non-complex institutions as defined in Article 4(1)(145) of Regulation (EU) </w:t>
            </w:r>
            <w:r w:rsidR="009827BA">
              <w:t>No.</w:t>
            </w:r>
            <w:r>
              <w:t xml:space="preserve"> 575/2013, provided they are large </w:t>
            </w:r>
            <w:r w:rsidR="00767BB7">
              <w:t>enterprises</w:t>
            </w:r>
            <w:r>
              <w:t xml:space="preserve"> or listed SMEs and not micro-enterprises</w:t>
            </w:r>
            <w:r w:rsidR="00767BB7">
              <w:t>; and</w:t>
            </w:r>
          </w:p>
          <w:p w14:paraId="2000A69B" w14:textId="3EC4DDB1" w:rsidR="002D1B21" w:rsidRDefault="002D1B21" w:rsidP="00A372BF">
            <w:pPr>
              <w:pStyle w:val="Paragrafoelenco"/>
              <w:numPr>
                <w:ilvl w:val="0"/>
                <w:numId w:val="50"/>
              </w:numPr>
              <w:ind w:left="714" w:hanging="357"/>
              <w:contextualSpacing w:val="0"/>
              <w:jc w:val="both"/>
            </w:pPr>
            <w:r>
              <w:t xml:space="preserve">Captive insurance </w:t>
            </w:r>
            <w:r w:rsidR="00BD6020">
              <w:t xml:space="preserve">as defined in Article 13(2) of Directive (EU) </w:t>
            </w:r>
            <w:r w:rsidR="009827BA">
              <w:t>No.</w:t>
            </w:r>
            <w:r w:rsidR="00BD6020">
              <w:t xml:space="preserve"> 2009/</w:t>
            </w:r>
            <w:r w:rsidR="003875C6">
              <w:t xml:space="preserve">138(CE) </w:t>
            </w:r>
            <w:r>
              <w:t>and reinsurance undertakings</w:t>
            </w:r>
            <w:r w:rsidR="003875C6">
              <w:t xml:space="preserve"> as defined in Article 13(5) of the said Directive</w:t>
            </w:r>
            <w:r>
              <w:t xml:space="preserve">, provided they are large </w:t>
            </w:r>
            <w:r w:rsidR="003875C6">
              <w:t xml:space="preserve">enterprises </w:t>
            </w:r>
            <w:r>
              <w:t>or listed SMEs and not micro-enterprises</w:t>
            </w:r>
            <w:r w:rsidR="003875C6">
              <w:t xml:space="preserve">. </w:t>
            </w:r>
          </w:p>
          <w:p w14:paraId="540452A3" w14:textId="6F911E74" w:rsidR="002D1B21" w:rsidRDefault="003875C6" w:rsidP="00A372BF">
            <w:pPr>
              <w:jc w:val="both"/>
            </w:pPr>
            <w:r>
              <w:t>Moreover, the provisions of Article 5 concerning third-country companies will become applicable starting from the</w:t>
            </w:r>
            <w:r w:rsidR="002D1B21" w:rsidRPr="00A372BF">
              <w:rPr>
                <w:b/>
                <w:bCs/>
              </w:rPr>
              <w:t xml:space="preserve"> financial year beginning on January 1, 2028</w:t>
            </w:r>
            <w:r w:rsidR="000E78C0">
              <w:rPr>
                <w:b/>
                <w:bCs/>
              </w:rPr>
              <w:t>.</w:t>
            </w:r>
          </w:p>
          <w:p w14:paraId="312E9D7B" w14:textId="278A134E" w:rsidR="00093CA9" w:rsidRDefault="002D1B21" w:rsidP="00A372BF">
            <w:pPr>
              <w:jc w:val="both"/>
            </w:pPr>
            <w:r>
              <w:t>Therefore, while the decree is currently in force, its substantive requirements are being implemented progressively according to the above schedule, with certain entities already subject to compliance obligations for the current financial year, while others will become subject to such obligations in subsequent years.</w:t>
            </w:r>
          </w:p>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AF9D749" w:rsidR="00093CA9" w:rsidRPr="00173D7C" w:rsidRDefault="00920FD4" w:rsidP="00093CA9">
            <w:pPr>
              <w:rPr>
                <w:color w:val="000000" w:themeColor="text1"/>
              </w:rPr>
            </w:pPr>
            <w:r>
              <w:rPr>
                <w:color w:val="000000" w:themeColor="text1"/>
              </w:rPr>
              <w:t>2024</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DA0D124" w:rsidR="00093CA9" w:rsidRPr="00173D7C" w:rsidRDefault="00920FD4" w:rsidP="00093CA9">
            <w:pPr>
              <w:rPr>
                <w:color w:val="000000" w:themeColor="text1"/>
              </w:rPr>
            </w:pPr>
            <w:r>
              <w:rPr>
                <w:color w:val="000000" w:themeColor="text1"/>
              </w:rPr>
              <w:t>From 2024</w:t>
            </w:r>
            <w:r w:rsidR="00BE5034">
              <w:rPr>
                <w:color w:val="000000" w:themeColor="text1"/>
              </w:rPr>
              <w:t xml:space="preserve"> up to 2028 as described under Q8</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F3ABB2F" w:rsidR="00093CA9" w:rsidRPr="00587FAE" w:rsidRDefault="00BE5034" w:rsidP="00093CA9">
            <w:pPr>
              <w:rPr>
                <w:color w:val="000000" w:themeColor="text1"/>
              </w:rPr>
            </w:pPr>
            <w:r>
              <w:rPr>
                <w:color w:val="000000" w:themeColor="text1"/>
              </w:rPr>
              <w:t>Please see Q8</w:t>
            </w: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4600F20"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B4E1577" w:rsidR="00093CA9" w:rsidRPr="00A372BF" w:rsidRDefault="00451135" w:rsidP="00093CA9">
            <w:bookmarkStart w:id="5" w:name="_cp_change_12"/>
            <w:r w:rsidRPr="00A372BF">
              <w:t>Italian government under enabling legislation</w:t>
            </w:r>
            <w:bookmarkEnd w:id="5"/>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9827BA"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AC7AABE" w:rsidR="00093CA9" w:rsidRPr="00A372BF" w:rsidRDefault="000003D6" w:rsidP="00093CA9">
            <w:pPr>
              <w:rPr>
                <w:lang w:val="it-IT"/>
              </w:rPr>
            </w:pPr>
            <w:r w:rsidRPr="00A372BF">
              <w:rPr>
                <w:lang w:val="it-IT"/>
              </w:rPr>
              <w:t>Ministry of Economy and Finance (</w:t>
            </w:r>
            <w:r w:rsidRPr="00A372BF">
              <w:rPr>
                <w:i/>
                <w:iCs/>
                <w:lang w:val="it-IT"/>
              </w:rPr>
              <w:t>Ministero dell</w:t>
            </w:r>
            <w:r w:rsidR="006760C1" w:rsidRPr="00A372BF">
              <w:rPr>
                <w:i/>
                <w:iCs/>
                <w:lang w:val="it-IT"/>
              </w:rPr>
              <w:t>’</w:t>
            </w:r>
            <w:r w:rsidRPr="00A372BF">
              <w:rPr>
                <w:i/>
                <w:iCs/>
                <w:lang w:val="it-IT"/>
              </w:rPr>
              <w:t>economia e delle finanze</w:t>
            </w:r>
            <w:r w:rsidRPr="00A372BF">
              <w:rPr>
                <w:lang w:val="it-IT"/>
              </w:rPr>
              <w:t xml:space="preserve">) </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6FCE466" w:rsidR="00093CA9" w:rsidRPr="006B7B0D" w:rsidRDefault="001108B9"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9827BA"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C97741D" w:rsidR="00093CA9" w:rsidRPr="006E781D" w:rsidRDefault="006E781D" w:rsidP="00093CA9">
            <w:pPr>
              <w:rPr>
                <w:lang w:val="it-IT"/>
              </w:rPr>
            </w:pPr>
            <w:r>
              <w:rPr>
                <w:lang w:val="it-IT"/>
              </w:rPr>
              <w:t>National Companies and Exchange Commission (</w:t>
            </w:r>
            <w:r w:rsidR="006760C1" w:rsidRPr="006E781D">
              <w:rPr>
                <w:i/>
                <w:iCs/>
                <w:lang w:val="it-IT"/>
              </w:rPr>
              <w:t>Commissione Nazionale per le Società e la Borsa</w:t>
            </w:r>
            <w:r w:rsidR="006760C1" w:rsidRPr="006E781D">
              <w:rPr>
                <w:lang w:val="it-IT"/>
              </w:rPr>
              <w:t xml:space="preserve"> or CONSOB</w:t>
            </w:r>
            <w:r>
              <w:rPr>
                <w:lang w:val="it-IT"/>
              </w:rPr>
              <w:t>)</w:t>
            </w:r>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174E2393" w:rsidR="00093CA9" w:rsidRPr="006B7B0D" w:rsidRDefault="001108B9" w:rsidP="00093CA9">
            <w:r>
              <w:t>X</w:t>
            </w:r>
          </w:p>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36876FF"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lastRenderedPageBreak/>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4E68ACA9"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587EC42" w:rsidR="00093CA9" w:rsidRDefault="00A62B7A"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9EE6D30" w14:textId="77777777" w:rsidR="00757D38" w:rsidRPr="00757D38" w:rsidRDefault="00757D38" w:rsidP="00A372BF">
            <w:pPr>
              <w:keepNext/>
              <w:jc w:val="both"/>
              <w:rPr>
                <w:color w:val="000000" w:themeColor="text1"/>
              </w:rPr>
            </w:pPr>
            <w:r w:rsidRPr="00757D38">
              <w:rPr>
                <w:color w:val="000000" w:themeColor="text1"/>
              </w:rPr>
              <w:t>As described below, several monitoring systems are established to oversee the implementation and enforcement of the policy tool. However, the policy tool does not explicitly mention open data platforms or public dashboards.</w:t>
            </w:r>
          </w:p>
          <w:p w14:paraId="5FCC7791" w14:textId="4576C2C9" w:rsidR="00140468" w:rsidRPr="00A372BF" w:rsidRDefault="00B41FEE" w:rsidP="00140468">
            <w:pPr>
              <w:keepNext/>
              <w:jc w:val="both"/>
              <w:rPr>
                <w:color w:val="000000" w:themeColor="text1"/>
              </w:rPr>
            </w:pPr>
            <w:r>
              <w:rPr>
                <w:color w:val="000000" w:themeColor="text1"/>
              </w:rPr>
              <w:t>According to article 6 of the policy tool,</w:t>
            </w:r>
            <w:r w:rsidR="001108B9">
              <w:rPr>
                <w:color w:val="000000" w:themeColor="text1"/>
              </w:rPr>
              <w:t xml:space="preserve"> t</w:t>
            </w:r>
            <w:r w:rsidR="00656343">
              <w:rPr>
                <w:color w:val="000000" w:themeColor="text1"/>
              </w:rPr>
              <w:t>he</w:t>
            </w:r>
            <w:r w:rsidR="003434AC">
              <w:rPr>
                <w:color w:val="000000" w:themeColor="text1"/>
              </w:rPr>
              <w:t xml:space="preserve"> </w:t>
            </w:r>
            <w:r w:rsidR="00656343">
              <w:rPr>
                <w:color w:val="000000" w:themeColor="text1"/>
              </w:rPr>
              <w:t>policy tool</w:t>
            </w:r>
            <w:r w:rsidR="00140468" w:rsidRPr="00A372BF">
              <w:rPr>
                <w:color w:val="000000" w:themeColor="text1"/>
              </w:rPr>
              <w:t xml:space="preserve"> requires companies to include sustainability reporting in their management report</w:t>
            </w:r>
            <w:r w:rsidR="003434AC">
              <w:rPr>
                <w:color w:val="000000" w:themeColor="text1"/>
              </w:rPr>
              <w:t xml:space="preserve">s. Such reports </w:t>
            </w:r>
            <w:r w:rsidR="003434AC" w:rsidRPr="00251047">
              <w:rPr>
                <w:color w:val="000000" w:themeColor="text1"/>
              </w:rPr>
              <w:t>must be published according to specific procedures</w:t>
            </w:r>
            <w:r w:rsidR="003434AC">
              <w:rPr>
                <w:color w:val="000000" w:themeColor="text1"/>
              </w:rPr>
              <w:t xml:space="preserve"> set out under artic</w:t>
            </w:r>
            <w:r w:rsidR="00AD6CB7">
              <w:rPr>
                <w:color w:val="000000" w:themeColor="text1"/>
              </w:rPr>
              <w:t>le 6 of the policy tool</w:t>
            </w:r>
            <w:r w:rsidR="003434AC" w:rsidRPr="00251047">
              <w:rPr>
                <w:color w:val="000000" w:themeColor="text1"/>
              </w:rPr>
              <w:t>, making compliance easily verifiable</w:t>
            </w:r>
            <w:r w:rsidR="00140468" w:rsidRPr="00A372BF">
              <w:rPr>
                <w:color w:val="000000" w:themeColor="text1"/>
              </w:rPr>
              <w:t>. This publication requirement creates transparency and allows stakeholders to readily verify whether companies have fulfilled their reporting obligations.</w:t>
            </w:r>
          </w:p>
          <w:p w14:paraId="3282B65E" w14:textId="77777777" w:rsidR="00813DFC" w:rsidRDefault="00140468" w:rsidP="00140468">
            <w:pPr>
              <w:keepNext/>
              <w:jc w:val="both"/>
              <w:rPr>
                <w:color w:val="000000" w:themeColor="text1"/>
              </w:rPr>
            </w:pPr>
            <w:r w:rsidRPr="00A372BF">
              <w:rPr>
                <w:color w:val="000000" w:themeColor="text1"/>
              </w:rPr>
              <w:t xml:space="preserve">The verification of sustainability reporting is entrusted to independent auditors who assess compliance with applicable standards. Article </w:t>
            </w:r>
            <w:r w:rsidR="00FE0756">
              <w:rPr>
                <w:color w:val="000000" w:themeColor="text1"/>
              </w:rPr>
              <w:t>8</w:t>
            </w:r>
            <w:r w:rsidRPr="00A372BF">
              <w:rPr>
                <w:color w:val="000000" w:themeColor="text1"/>
              </w:rPr>
              <w:t xml:space="preserve"> establishes that the statutory auditor or audit firm must express an opinion on the conformity of the sustainability reporting with the requirements of the </w:t>
            </w:r>
            <w:r w:rsidR="00FE0756">
              <w:rPr>
                <w:color w:val="000000" w:themeColor="text1"/>
              </w:rPr>
              <w:t>policy tool</w:t>
            </w:r>
            <w:r w:rsidRPr="00A372BF">
              <w:rPr>
                <w:color w:val="000000" w:themeColor="text1"/>
              </w:rPr>
              <w:t xml:space="preserve"> and the </w:t>
            </w:r>
            <w:r w:rsidR="00FE0756">
              <w:rPr>
                <w:color w:val="000000" w:themeColor="text1"/>
              </w:rPr>
              <w:t>relevant legislation</w:t>
            </w:r>
            <w:r w:rsidRPr="00A372BF">
              <w:rPr>
                <w:color w:val="000000" w:themeColor="text1"/>
              </w:rPr>
              <w:t xml:space="preserve">. </w:t>
            </w:r>
          </w:p>
          <w:p w14:paraId="11CCB5EC" w14:textId="2D5E7480" w:rsidR="00140468" w:rsidRPr="00A372BF" w:rsidRDefault="00C409E7" w:rsidP="00140468">
            <w:pPr>
              <w:keepNext/>
              <w:jc w:val="both"/>
              <w:rPr>
                <w:color w:val="000000" w:themeColor="text1"/>
              </w:rPr>
            </w:pPr>
            <w:r w:rsidRPr="00757D38">
              <w:rPr>
                <w:color w:val="000000" w:themeColor="text1"/>
              </w:rPr>
              <w:t>According to provisions of article 9, which amend the legislative decree 27 January 2010, nr. 39, these professionals are subject to quality control based on risk analysis at least every six years</w:t>
            </w:r>
            <w:r w:rsidR="00AC585E">
              <w:rPr>
                <w:color w:val="000000" w:themeColor="text1"/>
              </w:rPr>
              <w:t>.</w:t>
            </w:r>
            <w:r w:rsidR="004F44A9">
              <w:rPr>
                <w:color w:val="000000" w:themeColor="text1"/>
              </w:rPr>
              <w:t xml:space="preserve"> In addition, both CONSOB and </w:t>
            </w:r>
            <w:r w:rsidR="00847FF0">
              <w:rPr>
                <w:color w:val="000000" w:themeColor="text1"/>
              </w:rPr>
              <w:t xml:space="preserve">the Ministry of Economy and Finance, as the case may be, </w:t>
            </w:r>
            <w:r w:rsidR="00140468" w:rsidRPr="00A372BF">
              <w:rPr>
                <w:color w:val="000000" w:themeColor="text1"/>
              </w:rPr>
              <w:t xml:space="preserve">have the power to request documents, conduct inspections, and impose sanctions for non-compliance. </w:t>
            </w:r>
          </w:p>
          <w:p w14:paraId="756BE743" w14:textId="2EB6D06E" w:rsidR="00140468" w:rsidRPr="00A372BF" w:rsidRDefault="00140468" w:rsidP="00140468">
            <w:pPr>
              <w:keepNext/>
              <w:jc w:val="both"/>
              <w:rPr>
                <w:color w:val="000000" w:themeColor="text1"/>
              </w:rPr>
            </w:pPr>
            <w:r w:rsidRPr="00A372BF">
              <w:rPr>
                <w:color w:val="000000" w:themeColor="text1"/>
              </w:rPr>
              <w:t>Additionally, companies</w:t>
            </w:r>
            <w:r w:rsidR="00031CEE">
              <w:rPr>
                <w:color w:val="000000" w:themeColor="text1"/>
              </w:rPr>
              <w:t>’</w:t>
            </w:r>
            <w:r w:rsidRPr="00A372BF">
              <w:rPr>
                <w:color w:val="000000" w:themeColor="text1"/>
              </w:rPr>
              <w:t xml:space="preserve"> internal control bodies play a crucial role in monitoring compliance. Article 10 </w:t>
            </w:r>
            <w:r w:rsidR="00031CEE">
              <w:rPr>
                <w:color w:val="000000" w:themeColor="text1"/>
              </w:rPr>
              <w:t xml:space="preserve">of the policy tool </w:t>
            </w:r>
            <w:r w:rsidRPr="00A372BF">
              <w:rPr>
                <w:color w:val="000000" w:themeColor="text1"/>
              </w:rPr>
              <w:t>requires the control body (</w:t>
            </w:r>
            <w:r w:rsidRPr="00A372BF">
              <w:rPr>
                <w:i/>
                <w:iCs/>
                <w:color w:val="000000" w:themeColor="text1"/>
              </w:rPr>
              <w:t>organo di controllo</w:t>
            </w:r>
            <w:r w:rsidRPr="00A372BF">
              <w:rPr>
                <w:color w:val="000000" w:themeColor="text1"/>
              </w:rPr>
              <w:t xml:space="preserve">) of companies to supervise adherence to the </w:t>
            </w:r>
            <w:r w:rsidR="00B56D46">
              <w:rPr>
                <w:color w:val="000000" w:themeColor="text1"/>
              </w:rPr>
              <w:t>policy tool’s</w:t>
            </w:r>
            <w:r w:rsidRPr="00A372BF">
              <w:rPr>
                <w:color w:val="000000" w:themeColor="text1"/>
              </w:rPr>
              <w:t xml:space="preserve"> provisions and report on this in their annual report to shareholders. For listed companies, Article </w:t>
            </w:r>
            <w:r w:rsidR="009D4121">
              <w:rPr>
                <w:color w:val="000000" w:themeColor="text1"/>
              </w:rPr>
              <w:t xml:space="preserve">12, which amends article </w:t>
            </w:r>
            <w:r w:rsidRPr="00A372BF">
              <w:rPr>
                <w:color w:val="000000" w:themeColor="text1"/>
              </w:rPr>
              <w:t xml:space="preserve">154-bis </w:t>
            </w:r>
            <w:r w:rsidR="00A70F20">
              <w:rPr>
                <w:color w:val="000000" w:themeColor="text1"/>
              </w:rPr>
              <w:t xml:space="preserve">of the legislative decree </w:t>
            </w:r>
            <w:r w:rsidR="00A70F20" w:rsidRPr="00A372BF">
              <w:rPr>
                <w:color w:val="000000" w:themeColor="text1"/>
              </w:rPr>
              <w:t xml:space="preserve">24 </w:t>
            </w:r>
            <w:r w:rsidR="00A70F20">
              <w:rPr>
                <w:color w:val="000000" w:themeColor="text1"/>
              </w:rPr>
              <w:t>February</w:t>
            </w:r>
            <w:r w:rsidR="00A70F20" w:rsidRPr="00A372BF">
              <w:rPr>
                <w:color w:val="000000" w:themeColor="text1"/>
              </w:rPr>
              <w:t xml:space="preserve"> 1998, n</w:t>
            </w:r>
            <w:r w:rsidR="00A70F20">
              <w:rPr>
                <w:color w:val="000000" w:themeColor="text1"/>
              </w:rPr>
              <w:t>r</w:t>
            </w:r>
            <w:r w:rsidR="00A70F20" w:rsidRPr="00A372BF">
              <w:rPr>
                <w:color w:val="000000" w:themeColor="text1"/>
              </w:rPr>
              <w:t>. 58</w:t>
            </w:r>
            <w:r w:rsidR="00A70F20">
              <w:rPr>
                <w:color w:val="000000" w:themeColor="text1"/>
              </w:rPr>
              <w:t>,</w:t>
            </w:r>
            <w:r w:rsidR="00A70F20" w:rsidRPr="00A70F20">
              <w:rPr>
                <w:color w:val="000000" w:themeColor="text1"/>
              </w:rPr>
              <w:t xml:space="preserve"> </w:t>
            </w:r>
            <w:r w:rsidRPr="00A372BF">
              <w:rPr>
                <w:color w:val="000000" w:themeColor="text1"/>
              </w:rPr>
              <w:t>mandates that delegated administrative bodies and the financial reporting manager must certify that sustainability reporting complies with applicable standards.</w:t>
            </w:r>
          </w:p>
          <w:p w14:paraId="2C2128DB" w14:textId="4386833A" w:rsidR="00B21FC6" w:rsidRPr="008017F9" w:rsidRDefault="00140468" w:rsidP="00A372BF">
            <w:pPr>
              <w:keepNext/>
              <w:jc w:val="both"/>
              <w:rPr>
                <w:color w:val="000000" w:themeColor="text1"/>
              </w:rPr>
            </w:pPr>
            <w:r w:rsidRPr="00A372BF">
              <w:rPr>
                <w:color w:val="000000" w:themeColor="text1"/>
              </w:rPr>
              <w:t>This comprehensive monitoring framework creates a chain of accountability from company reporting through independent verification to regulatory oversight, ensuring that sustainability reporting requirements are properly implemented and enforced.</w:t>
            </w:r>
          </w:p>
        </w:tc>
      </w:tr>
    </w:tbl>
    <w:p w14:paraId="6F36141D" w14:textId="193F21DA" w:rsidR="005F3137" w:rsidRDefault="005F3137"/>
    <w:p w14:paraId="4E5E0234" w14:textId="5F707638" w:rsidR="00A40404" w:rsidRDefault="005E50FD" w:rsidP="00A40404">
      <w:pPr>
        <w:pStyle w:val="Titolo1"/>
      </w:pPr>
      <w:r>
        <w:br w:type="page"/>
      </w:r>
      <w:bookmarkStart w:id="6" w:name="_Toc198223601"/>
      <w:r w:rsidR="00A40404">
        <w:lastRenderedPageBreak/>
        <w:t>Domain 1: Climate-Related Disclosure</w:t>
      </w:r>
      <w:bookmarkEnd w:id="6"/>
    </w:p>
    <w:p w14:paraId="74977052" w14:textId="07875EE2" w:rsidR="005E50FD" w:rsidRDefault="00A40404" w:rsidP="00A40404">
      <w:pPr>
        <w:pStyle w:val="Titolo2"/>
      </w:pPr>
      <w:bookmarkStart w:id="7" w:name="_Toc198223602"/>
      <w:r>
        <w:t>Section 1.1: Who is being targeted?</w:t>
      </w:r>
      <w:bookmarkEnd w:id="7"/>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5904B90A" w:rsidR="00CF5268" w:rsidRDefault="003178B7"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AC4E655" w:rsidR="00CF5268" w:rsidRDefault="003178B7"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6E5EB84" w:rsidR="00CF5268" w:rsidRDefault="003178B7"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586AB153" w:rsidR="00CF5268" w:rsidRDefault="003178B7"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69F1CB1" w:rsidR="00CF5268" w:rsidRDefault="003178B7"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70DC353" w:rsidR="466E435B" w:rsidRDefault="000671AE"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35D80E9" w:rsidR="00CF5268" w:rsidRDefault="000671AE"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4AB1875" w:rsidR="466E435B" w:rsidRDefault="000671AE"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1F4A118" w:rsidR="466E435B" w:rsidRDefault="000671AE"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375BB0E" w:rsidR="466E435B" w:rsidRDefault="000671AE"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B6D2FB8" w:rsidR="466E435B" w:rsidRDefault="000671AE"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3E0830B" w:rsidR="00CF5268" w:rsidRDefault="000671AE"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963EB21" w:rsidR="00CF5268" w:rsidRDefault="000671AE"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8"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070335B2" w:rsidR="004B2D74" w:rsidRDefault="00B3468F"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23DA23B1"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66FF1AA6" w:rsidR="004B2D74" w:rsidRDefault="00B44C1E"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FD3F8A">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29E9D45D" w:rsidR="0039223F" w:rsidRDefault="00FD3F8A" w:rsidP="00A372BF">
            <w:pPr>
              <w:jc w:val="both"/>
            </w:pPr>
            <w:r>
              <w:t>T</w:t>
            </w:r>
            <w:r w:rsidRPr="00FD3F8A">
              <w:t xml:space="preserve">he duties under </w:t>
            </w:r>
            <w:r>
              <w:t>the policy tool</w:t>
            </w:r>
            <w:r w:rsidRPr="00FD3F8A">
              <w:t xml:space="preserve"> vary significantly, creating a differentiated and proportionate system of obligations based on company size, legal form, listing status, and corporate structure. The decree's scope targets large undertakings and listed </w:t>
            </w:r>
            <w:r>
              <w:t>small and medium enterprises (“</w:t>
            </w:r>
            <w:r w:rsidRPr="00A372BF">
              <w:rPr>
                <w:b/>
                <w:bCs/>
              </w:rPr>
              <w:t>SMEs</w:t>
            </w:r>
            <w:r>
              <w:t xml:space="preserve">”) </w:t>
            </w:r>
            <w:r w:rsidRPr="00FD3F8A">
              <w:t>for individual sustainability reporting, while parent companies of large groups must prepare consolidated reports; micro-enterprises are explicitly excluded</w:t>
            </w:r>
            <w:r>
              <w:t xml:space="preserve">. </w:t>
            </w:r>
            <w:r w:rsidRPr="00FD3F8A">
              <w:t>The required level of detail also differs, with large undertakings facing extensive requirements while listed SMEs and certain other entities may provide more limited information</w:t>
            </w:r>
            <w:r>
              <w:t xml:space="preserve">. </w:t>
            </w:r>
            <w:r w:rsidRPr="00FD3F8A">
              <w:t xml:space="preserve">Furthermore, subsidiaries may be exempt from individual reporting if their </w:t>
            </w:r>
            <w:r>
              <w:t xml:space="preserve">sustainability </w:t>
            </w:r>
            <w:r w:rsidRPr="00FD3F8A">
              <w:t>information is included in a parent company's consolidated report, an exemption that does not apply to large listed companies</w:t>
            </w:r>
            <w:r>
              <w:t xml:space="preserve">. </w:t>
            </w:r>
            <w:r w:rsidRPr="00FD3F8A">
              <w:t>This differentiation is reinforced by a phased implementation timeline</w:t>
            </w:r>
            <w:r>
              <w:t>, as described above.</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6E286B66" w:rsidR="00524D54" w:rsidRPr="003577A4" w:rsidRDefault="00CE6519" w:rsidP="00DD3144">
            <w:r>
              <w:t>10</w:t>
            </w:r>
          </w:p>
        </w:tc>
      </w:tr>
      <w:tr w:rsidR="00524D54" w:rsidRPr="0081250E"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6E781D" w:rsidRDefault="00107CE2" w:rsidP="00DD3144">
            <w:pPr>
              <w:rPr>
                <w:lang w:val="fr-FR"/>
              </w:rPr>
            </w:pPr>
            <w:r w:rsidRPr="006E781D">
              <w:rPr>
                <w:lang w:val="fr-FR"/>
              </w:rPr>
              <w:t>Minimum revenue (Enter minimum revenue)</w:t>
            </w:r>
          </w:p>
        </w:tc>
        <w:tc>
          <w:tcPr>
            <w:tcW w:w="4910" w:type="dxa"/>
            <w:gridSpan w:val="7"/>
            <w:shd w:val="clear" w:color="auto" w:fill="auto"/>
            <w:vAlign w:val="center"/>
          </w:tcPr>
          <w:p w14:paraId="2518BD70" w14:textId="03879D6F" w:rsidR="00524D54" w:rsidRPr="0081250E" w:rsidRDefault="00934B63" w:rsidP="00DD3144">
            <w:r w:rsidRPr="0081250E">
              <w:t>More than 2 mil</w:t>
            </w:r>
            <w:r w:rsidR="00AF2E13" w:rsidRPr="001C23F6">
              <w:t>l</w:t>
            </w:r>
            <w:r w:rsidRPr="0081250E">
              <w:t>ion</w:t>
            </w:r>
            <w:r w:rsidR="00AF2E13" w:rsidRPr="001C23F6">
              <w:t>s</w:t>
            </w:r>
            <w:r w:rsidRPr="0081250E">
              <w:t xml:space="preserve"> </w:t>
            </w:r>
            <w:r w:rsidR="00AF2E13" w:rsidRPr="001C23F6">
              <w:t>of Euro per year</w:t>
            </w:r>
            <w:r w:rsidRPr="0081250E">
              <w:t>;</w:t>
            </w:r>
          </w:p>
        </w:tc>
      </w:tr>
      <w:tr w:rsidR="00524D54" w:rsidRPr="009827B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234FC725" w:rsidR="00576ED8" w:rsidRDefault="00CA4EBC"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3D72B279"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52DCBA02" w14:textId="77777777" w:rsidR="00CA4EBC" w:rsidRPr="00CA4EBC" w:rsidRDefault="00CA4EBC" w:rsidP="00A372BF">
            <w:pPr>
              <w:jc w:val="both"/>
            </w:pPr>
            <w:r w:rsidRPr="00CA4EBC">
              <w:t>Pursuant to Article 7 of the policy tool, parent companies of large groups, large companies, and small and medium-size listed companies are not subject to disclosure duties if the information required by such disclosure duties is included (i) in the parent company’s consolidated sustainability reporting, (ii) in the EU parent company’s consolidated sustainability reporting or (iii) in the non-EU parent company’s consolidated sustainability reporting in compliance with the accounting standards adopted by the European Commission pursuant to Article 29b of Directive 2013/34/EU (https://web.archive.org/web/20240817091939/https://eur-lex.europa.eu/legal-content/EN/TXT/?uri=CELEX%3A02013L0034-20240528) or equivalent standards established by the European Commission pursuant to Article 23, paragraph 4, of Directive 2004/109/EC (https://web.archive.org/web/20240817092156/https://eur-lex.europa.eu/legal-content/EN/TXT/?uri=CELEX%3A02004L0109-20240109).</w:t>
            </w:r>
          </w:p>
          <w:p w14:paraId="2F7E47A4" w14:textId="77777777" w:rsidR="00D07558" w:rsidRDefault="00CA4EBC" w:rsidP="00CA4EBC">
            <w:pPr>
              <w:jc w:val="both"/>
            </w:pPr>
            <w:r w:rsidRPr="00CA4EBC">
              <w:t xml:space="preserve">The above-mentioned exemptions are subject to the following conditions: </w:t>
            </w:r>
          </w:p>
          <w:p w14:paraId="370B8F76" w14:textId="77777777" w:rsidR="00D07558" w:rsidRPr="00A372BF" w:rsidRDefault="00D07558" w:rsidP="00D07558">
            <w:pPr>
              <w:jc w:val="both"/>
            </w:pPr>
            <w:r w:rsidRPr="00A372BF">
              <w:t>a) the management report of the exempted company contains all of the following information:</w:t>
            </w:r>
          </w:p>
          <w:p w14:paraId="518B79D5" w14:textId="7A51CFD3" w:rsidR="00D07558" w:rsidRPr="00A372BF" w:rsidRDefault="00D07558" w:rsidP="00D07558">
            <w:pPr>
              <w:numPr>
                <w:ilvl w:val="0"/>
                <w:numId w:val="51"/>
              </w:numPr>
              <w:jc w:val="both"/>
            </w:pPr>
            <w:r w:rsidRPr="00A372BF">
              <w:t xml:space="preserve">the name and registered office of the parent company providing the information </w:t>
            </w:r>
            <w:r w:rsidR="00E0650C">
              <w:t>referred to above</w:t>
            </w:r>
            <w:r w:rsidRPr="00A372BF">
              <w:t>;</w:t>
            </w:r>
          </w:p>
          <w:p w14:paraId="6ECDC3A8" w14:textId="18892B20" w:rsidR="00D07558" w:rsidRPr="00A372BF" w:rsidRDefault="00D07558" w:rsidP="00D07558">
            <w:pPr>
              <w:numPr>
                <w:ilvl w:val="0"/>
                <w:numId w:val="51"/>
              </w:numPr>
              <w:jc w:val="both"/>
            </w:pPr>
            <w:r w:rsidRPr="00A372BF">
              <w:t xml:space="preserve">the link to the website on which the consolidated management report of the parent company or the European parent company or, where applicable, the consolidated sustainability reporting of the non-European parent company and the attestation containing the conclusions on compliance referred to in Article 34, paragraph 1, second subparagraph, letter a-bis), of Directive 2013/34/EU, and in Article 8 of </w:t>
            </w:r>
            <w:r w:rsidR="00E0650C">
              <w:t>the policy tool</w:t>
            </w:r>
            <w:r w:rsidRPr="00A372BF">
              <w:t xml:space="preserve"> or by the national implementing provisions of the other Member States of the European </w:t>
            </w:r>
            <w:r w:rsidRPr="00A372BF">
              <w:lastRenderedPageBreak/>
              <w:t>Union or the attestation containing the conclusions on compliance referred to in letter b)</w:t>
            </w:r>
            <w:r w:rsidR="003F0AFE">
              <w:t xml:space="preserve"> below</w:t>
            </w:r>
            <w:r w:rsidRPr="00A372BF">
              <w:t>;</w:t>
            </w:r>
          </w:p>
          <w:p w14:paraId="66D7F7B8" w14:textId="77777777" w:rsidR="00D07558" w:rsidRPr="00A372BF" w:rsidRDefault="00D07558" w:rsidP="00D07558">
            <w:pPr>
              <w:numPr>
                <w:ilvl w:val="0"/>
                <w:numId w:val="51"/>
              </w:numPr>
              <w:jc w:val="both"/>
            </w:pPr>
            <w:r w:rsidRPr="00A372BF">
              <w:t>that the company is exempt pursuant to this Article;</w:t>
            </w:r>
          </w:p>
          <w:p w14:paraId="06473912" w14:textId="0BDD0636" w:rsidR="00D07558" w:rsidRPr="00A372BF" w:rsidRDefault="00D07558" w:rsidP="00D07558">
            <w:pPr>
              <w:jc w:val="both"/>
            </w:pPr>
            <w:r w:rsidRPr="00A372BF">
              <w:t xml:space="preserve">b) in the cases provided for </w:t>
            </w:r>
            <w:r w:rsidR="00665488">
              <w:t xml:space="preserve">under </w:t>
            </w:r>
            <w:r w:rsidR="006C1E5D">
              <w:t>i</w:t>
            </w:r>
            <w:r w:rsidR="00665488">
              <w:t>tem (iii) above</w:t>
            </w:r>
            <w:r w:rsidRPr="00A372BF">
              <w:t xml:space="preserve">, the consolidated sustainability reporting of the non-European parent company and the attestation containing the conclusions on compliance, issued by one or more persons or by one or more firms authorized to issue an attestation containing the conclusions on the compliance of the sustainability reporting in accordance with the law to which the non-European parent company is subject, are published in the terms and conditions referred to in </w:t>
            </w:r>
            <w:r w:rsidR="00665488">
              <w:t>the policy tool</w:t>
            </w:r>
            <w:r w:rsidRPr="00A372BF">
              <w:t>;</w:t>
            </w:r>
          </w:p>
          <w:p w14:paraId="7565183D" w14:textId="2D16C129" w:rsidR="00D07558" w:rsidRPr="00A372BF" w:rsidRDefault="00D07558" w:rsidP="00D07558">
            <w:pPr>
              <w:jc w:val="both"/>
            </w:pPr>
            <w:r w:rsidRPr="00A372BF">
              <w:t xml:space="preserve">c) in the cases provided for </w:t>
            </w:r>
            <w:r w:rsidR="006C1E5D">
              <w:t>under item (iii) above</w:t>
            </w:r>
            <w:r w:rsidRPr="00A372BF">
              <w:t>, the information referred to in Article 8 of Regulation (EU) 2020/852, relating to the activities carried out by the exempted subsidiary established in the European Union and its subsidiaries, where not included in the sustainability reporting prepared by the non-European parent company, are included in the management report of the exempted company.</w:t>
            </w:r>
          </w:p>
          <w:p w14:paraId="30BAB92A" w14:textId="7F55AA2F" w:rsidR="009F5822" w:rsidRDefault="00CA4EBC" w:rsidP="002B777A">
            <w:pPr>
              <w:jc w:val="both"/>
            </w:pPr>
            <w:r w:rsidRPr="00CA4EBC">
              <w:t>The above exemptions do not apply to large companies</w:t>
            </w:r>
            <w:r w:rsidR="000251D4">
              <w:t xml:space="preserve"> </w:t>
            </w:r>
            <w:r w:rsidR="000251D4" w:rsidRPr="000251D4">
              <w:t>whose securities are admitted to trading on Italian or European Union regulated markets</w:t>
            </w:r>
            <w:r w:rsidRPr="00CA4EBC">
              <w:t xml:space="preserve">. Insurance companies which belong to a group operating under a sole direction pursuant to Article 96 of Legislative Decree </w:t>
            </w:r>
            <w:r w:rsidR="009827BA">
              <w:t>No.</w:t>
            </w:r>
            <w:r w:rsidRPr="00CA4EBC">
              <w:t xml:space="preserve"> 209 of 7 September 2005 (https://web.archive.org/web/20240817092454/https://www.normattiva.it/uri-res/N2Ls?urn:nir:stato:decreto.legislativo:2005-09-07;209) are considered as subsidiary companies of the parent company of such group.</w:t>
            </w:r>
            <w:r w:rsidR="00043EEA">
              <w:t xml:space="preserve"> In case</w:t>
            </w:r>
            <w:r w:rsidR="00043EEA" w:rsidRPr="00043EEA">
              <w:t xml:space="preserve"> Article 10 of Regulation (EU) </w:t>
            </w:r>
            <w:r w:rsidR="009827BA">
              <w:t>No.</w:t>
            </w:r>
            <w:r w:rsidR="00043EEA" w:rsidRPr="00043EEA">
              <w:t xml:space="preserve"> 575/2013 of the European Parliament and of the Council of 26 June 2013 applies, the credit institutions referred to </w:t>
            </w:r>
            <w:r w:rsidR="00043EEA">
              <w:t>the policy tools</w:t>
            </w:r>
            <w:r w:rsidR="00043EEA" w:rsidRPr="00043EEA">
              <w:t xml:space="preserve">, which are permanently affiliated to a central body responsible for their supervision under the conditions established by Article 10 of Regulation (EU) </w:t>
            </w:r>
            <w:r w:rsidR="009827BA">
              <w:t>No.</w:t>
            </w:r>
            <w:r w:rsidR="00043EEA" w:rsidRPr="00043EEA">
              <w:t xml:space="preserve"> 575/2013, shall be treated as subsidiary undertakings of such central body</w:t>
            </w:r>
            <w:r w:rsidR="00043EEA">
              <w:t>.</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934C4B">
              <w:rPr>
                <w:b/>
                <w:bCs/>
              </w:rPr>
              <w:lastRenderedPageBreak/>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6EB2FBE1" w:rsidR="00911F20" w:rsidRDefault="00FD3F8A"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526A982C" w:rsidR="00911F20" w:rsidRDefault="00FD3F8A"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74329E04" w:rsidR="00911F20" w:rsidRDefault="00FD3F8A"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EBFA80E" w:rsidR="00911F20" w:rsidRDefault="00FD3F8A"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077947">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8F9340D" w14:textId="100AC14F" w:rsidR="009C4798" w:rsidRDefault="000F4BBF" w:rsidP="00A372BF">
            <w:pPr>
              <w:jc w:val="both"/>
            </w:pPr>
            <w:r w:rsidRPr="000F4BBF">
              <w:t xml:space="preserve">Regarding companies and their management bodies, the </w:t>
            </w:r>
            <w:r>
              <w:t xml:space="preserve">policy tool’s </w:t>
            </w:r>
            <w:r w:rsidRPr="000F4BBF">
              <w:t xml:space="preserve">provisions </w:t>
            </w:r>
            <w:r>
              <w:t xml:space="preserve">on </w:t>
            </w:r>
            <w:r w:rsidR="0079181B">
              <w:t>sanctions</w:t>
            </w:r>
            <w:r>
              <w:t xml:space="preserve"> </w:t>
            </w:r>
            <w:r w:rsidRPr="000F4BBF">
              <w:t>authorize authorities to impose significant pecuniary sanctions for reporting violations, with caps established for the first two years</w:t>
            </w:r>
            <w:r>
              <w:t xml:space="preserve">. </w:t>
            </w:r>
            <w:r w:rsidRPr="000F4BBF">
              <w:t>A specific provision targets directors who, for failing to provide the necessary documents and information to the auditor, can face fines of up to €500,000 and, in more severe cases, a temporary ban from holding office for up to three years</w:t>
            </w:r>
            <w:r>
              <w:t>.</w:t>
            </w:r>
          </w:p>
          <w:p w14:paraId="1B3139EC" w14:textId="66072284" w:rsidR="000F4BBF" w:rsidRDefault="000F4BBF" w:rsidP="00A372BF">
            <w:pPr>
              <w:jc w:val="both"/>
            </w:pPr>
            <w:r w:rsidRPr="000F4BBF">
              <w:t xml:space="preserve">For auditors, sanctions are applied by the Ministry of Economy and Finance or by </w:t>
            </w:r>
            <w:r w:rsidR="003F07B9">
              <w:t>CONSOB</w:t>
            </w:r>
            <w:r w:rsidRPr="000F4BBF">
              <w:t xml:space="preserve"> and include non-pecuniary measures such as warnings and public censures, as well as more severe actions like the revocation of assignments, a ban on accepting new mandates, suspension from professional activities, or cancellation from the register</w:t>
            </w:r>
            <w:r>
              <w:t>.</w:t>
            </w:r>
          </w:p>
          <w:p w14:paraId="7957AF8F" w14:textId="41BDE055" w:rsidR="000F4BBF" w:rsidRDefault="000F4BBF" w:rsidP="00A372BF">
            <w:pPr>
              <w:jc w:val="both"/>
            </w:pPr>
            <w:r w:rsidRPr="000F4BBF">
              <w:t xml:space="preserve">Pecuniary sanctions are also provided for, which can reach up to </w:t>
            </w:r>
            <w:r w:rsidR="003F07B9">
              <w:t xml:space="preserve">Euro </w:t>
            </w:r>
            <w:r w:rsidRPr="000F4BBF">
              <w:t>500,000, particularly for violations of independence rules</w:t>
            </w:r>
            <w:r>
              <w:t>.</w:t>
            </w:r>
          </w:p>
          <w:p w14:paraId="6475235A" w14:textId="2B3CCE1B" w:rsidR="000F4BBF" w:rsidRDefault="000F4BBF" w:rsidP="00A372BF">
            <w:pPr>
              <w:jc w:val="both"/>
            </w:pPr>
            <w:r w:rsidRPr="000F4BBF">
              <w:t>In applying these sanctions, the provisions guide authorities to consider mitigating factors, such as the severity of the violation and the internal procedures adopted by the company for compliance</w:t>
            </w:r>
            <w:r>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934C4B">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843A1DC"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01B1B91" w:rsidR="00CB1649" w:rsidRPr="00FA0CF8" w:rsidRDefault="00070A6C"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21636C3" w:rsidR="008063B5" w:rsidRDefault="00162C1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8"/>
    </w:tbl>
    <w:p w14:paraId="3E15F58C" w14:textId="77777777" w:rsidR="007B1CB8" w:rsidRDefault="007B1CB8"/>
    <w:p w14:paraId="0CE09BD1" w14:textId="632528A3" w:rsidR="00952AB2" w:rsidRDefault="00952AB2" w:rsidP="00952AB2">
      <w:pPr>
        <w:pStyle w:val="Titolo2"/>
      </w:pPr>
      <w:bookmarkStart w:id="9" w:name="_Toc198223603"/>
      <w:r>
        <w:t>Section 1.2: What is being disclosed?</w:t>
      </w:r>
      <w:bookmarkEnd w:id="9"/>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531E655B"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6B306B41" w:rsidR="00042406" w:rsidRDefault="004B742E"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4E4E1F4"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2D2EB943" w:rsidR="00042406" w:rsidRDefault="004B742E"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5B34C494" w:rsidR="00042406" w:rsidRDefault="00042406" w:rsidP="00DD3144"/>
        </w:tc>
        <w:tc>
          <w:tcPr>
            <w:tcW w:w="1440" w:type="dxa"/>
            <w:vAlign w:val="center"/>
          </w:tcPr>
          <w:p w14:paraId="78F2FEC9" w14:textId="4A406201" w:rsidR="00042406" w:rsidRDefault="004B742E"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21DE6B1A" w:rsidR="00042406" w:rsidRDefault="004B742E"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6DDCC725" w:rsidR="00042406" w:rsidRDefault="004B742E"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51A94AAD" w:rsidR="00042406" w:rsidRDefault="004B742E"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2D487C02" w:rsidR="00042406" w:rsidRDefault="004B742E"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3F07B9"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6E781D" w:rsidRDefault="00B0479E" w:rsidP="00DD3144">
            <w:pPr>
              <w:rPr>
                <w:lang w:val="fr-FR"/>
              </w:rPr>
            </w:pPr>
            <w:r w:rsidRPr="006E781D">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6E781D"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lastRenderedPageBreak/>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5CCC09DE" w:rsidR="00B0479E" w:rsidRDefault="00FA1071"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6F2BBFA1" w:rsidR="00B0479E" w:rsidRDefault="00FA1071"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4BA30AA" w:rsidR="00B0479E" w:rsidRDefault="008A54CD" w:rsidP="00DD3144">
            <w:r>
              <w:t>X</w:t>
            </w:r>
          </w:p>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451EF4A6" w:rsidR="00B0479E" w:rsidRDefault="008A54CD"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3B7AA4FD" w:rsidR="00B0479E" w:rsidRDefault="008A54CD"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64CAFA55" w:rsidR="00B0479E" w:rsidRDefault="008A54CD"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0562F664" w:rsidR="00B0479E" w:rsidRDefault="008A54CD"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24EF14A8" w:rsidR="00B0479E" w:rsidRDefault="008A54CD"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08F0E57B" w:rsidR="00B0479E" w:rsidRDefault="00A802F8" w:rsidP="00DD3144">
            <w:r>
              <w:t>X</w:t>
            </w:r>
          </w:p>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17C6115B" w:rsidR="00B0479E" w:rsidRDefault="00A802F8"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602A1031" w:rsidR="00B0479E" w:rsidRDefault="0060021B"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A8A93F5" w:rsidR="00B0479E" w:rsidRDefault="0060021B"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0E39820B" w:rsidR="00B0479E" w:rsidRDefault="00A563DB"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11175EB8"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7DAAFCAC" w:rsidR="00B0479E" w:rsidRDefault="00360DA2" w:rsidP="00DD3144">
            <w:r>
              <w:t>X</w:t>
            </w:r>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6B88145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56149F19" w:rsidR="00B0479E" w:rsidRDefault="00360DA2" w:rsidP="00DD3144">
            <w:r>
              <w:t>2030 and 2050</w:t>
            </w:r>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4F3E525A" w14:textId="77777777" w:rsidR="00B0479E" w:rsidRDefault="00B0479E" w:rsidP="00DD3144">
            <w:r>
              <w:t>1.34.1</w:t>
            </w:r>
          </w:p>
          <w:p w14:paraId="3F0F2EF8" w14:textId="0B9BD8E3" w:rsidR="00DB7F09" w:rsidRDefault="00DB7F09" w:rsidP="00DD3144"/>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565ECB7E" w:rsidR="00B0479E" w:rsidRDefault="00297662" w:rsidP="001C23F6">
            <w:pPr>
              <w:jc w:val="both"/>
            </w:pPr>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4ECCEDE8" w:rsidR="00B0479E" w:rsidRDefault="00ED5BC5"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221F40A0" w:rsidR="00B0479E" w:rsidRDefault="005735DD" w:rsidP="00A372BF">
            <w:pPr>
              <w:jc w:val="both"/>
            </w:pPr>
            <w:r>
              <w:t>Under article 3</w:t>
            </w:r>
            <w:r w:rsidR="00741C82">
              <w:t xml:space="preserve"> and 4</w:t>
            </w:r>
            <w:r>
              <w:t>, the policy tools requires the companies to describe</w:t>
            </w:r>
            <w:r w:rsidRPr="005735DD">
              <w:t xml:space="preserve"> the time-defined objectives connected to sustainability issues identified by the company, including, where applicable, quantitative greenhouse gas emission reduction targets at least for 2030 and 2050, a description of the progress made in achieving them, and a statement certifying whether the company's environmental objectives are based on conclusive scientific evidence</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lastRenderedPageBreak/>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6EC15290" w:rsidR="00B0479E" w:rsidRDefault="00741C82"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3F6C9619" w:rsidR="00B0479E" w:rsidRDefault="00741C82"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2F1BAF2" w:rsidR="00B0479E" w:rsidRDefault="00872B4C" w:rsidP="00DD3144">
            <w:r>
              <w:t>X</w:t>
            </w:r>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39334373" w:rsidR="00B0479E" w:rsidRDefault="00872B4C"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A372BF">
              <w:rPr>
                <w:b/>
                <w:bCs/>
              </w:rPr>
              <w:t>1.41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0813EC6E" w:rsidR="001C23F6" w:rsidRDefault="00A372BF" w:rsidP="001C23F6">
            <w:r>
              <w:t xml:space="preserve">Article 4 of the policy tool, for example, requires the </w:t>
            </w:r>
            <w:r w:rsidR="001C23F6">
              <w:t>e</w:t>
            </w:r>
            <w:r w:rsidR="001C23F6" w:rsidRPr="001C23F6">
              <w:t>nterprises which are parent companies of a large group</w:t>
            </w:r>
            <w:r w:rsidR="001C23F6">
              <w:t xml:space="preserve"> to</w:t>
            </w:r>
            <w:r w:rsidR="001C23F6" w:rsidRPr="001C23F6">
              <w:t xml:space="preserve"> include in a dedicated section of the management report the information necessary to understand the group</w:t>
            </w:r>
            <w:r w:rsidR="001C23F6">
              <w:t>’</w:t>
            </w:r>
            <w:r w:rsidR="001C23F6" w:rsidRPr="001C23F6">
              <w:t>s impact on sustainability matters, as well as the information necessary to understand how sustainability matters affect the group's performance, results, and position.</w:t>
            </w:r>
            <w:r w:rsidR="001C23F6">
              <w:t xml:space="preserve"> In particular, they should indicate, </w:t>
            </w:r>
            <w:r w:rsidR="001C23F6" w:rsidRPr="001C23F6">
              <w:rPr>
                <w:i/>
                <w:iCs/>
              </w:rPr>
              <w:t>inter alia</w:t>
            </w:r>
            <w:r w:rsidR="001C23F6">
              <w:t xml:space="preserve">, </w:t>
            </w:r>
            <w:r w:rsidR="001C23F6" w:rsidRPr="001C23F6">
              <w:t xml:space="preserve">the group’s plans, including implementation actions and the related financial and investment plans, aimed at ensuring that the business model and strategy are compatible with the transition to a sustainable economy and with limiting global warming to 1.5°C in accordance with the Paris Agreement and the </w:t>
            </w:r>
            <w:r w:rsidR="001C23F6" w:rsidRPr="001C23F6">
              <w:lastRenderedPageBreak/>
              <w:t>objective of achieving climate neutrality by 2050 as established by Regulation (EU) 2021/1119 of the European Parliament and of the Council of 30 June 2021, and, where applicable, the group’s exposure to activities related to coal, oil, and gas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3878DD05" w:rsidR="00EC42A1" w:rsidRDefault="00DD0121"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2A652CE1" w:rsidR="00EC42A1" w:rsidRDefault="00DD0121"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705F3AAC" w:rsidR="00EC42A1" w:rsidRDefault="00DD0121"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2B978400" w:rsidR="00EC42A1" w:rsidRDefault="00DD0121"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70B4912E" w:rsidR="00EC42A1" w:rsidRDefault="00DD0121"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lastRenderedPageBreak/>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012EFBAC" w:rsidR="00484663" w:rsidRDefault="00DD0121" w:rsidP="00DD3144">
            <w:r>
              <w:t>X</w:t>
            </w:r>
          </w:p>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10A7D8E" w:rsidR="00484663" w:rsidRDefault="0099623B"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34F7334" w:rsidR="00484663" w:rsidRDefault="0099623B"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E67B13B" w:rsidR="00484663" w:rsidRDefault="0099623B"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E472390" w:rsidR="00484663" w:rsidRDefault="0099623B"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lastRenderedPageBreak/>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388DD83" w:rsidR="00484663" w:rsidRDefault="0099623B"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6F6BDB0E" w:rsidR="00484663" w:rsidRDefault="0099623B"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3367F359" w:rsidR="00484663" w:rsidRDefault="0099623B" w:rsidP="00DD3144">
            <w:r>
              <w:t>X</w:t>
            </w:r>
          </w:p>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03BC6EAB" w:rsidR="00484663" w:rsidRDefault="0099623B"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17D47A3C" w:rsidR="00484663" w:rsidRDefault="0099623B" w:rsidP="00DD3144">
            <w:r>
              <w:t>X</w:t>
            </w:r>
          </w:p>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411BB747" w:rsidR="00484663" w:rsidRDefault="00DA5AF2" w:rsidP="00DD3144">
            <w:r>
              <w:t>X</w:t>
            </w:r>
          </w:p>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1C23F6">
        <w:trPr>
          <w:trHeight w:val="58"/>
        </w:trPr>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23EF3030" w:rsidR="00484663" w:rsidRDefault="00DA5AF2"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253C163C" w:rsidR="00484663" w:rsidRDefault="00A319AE" w:rsidP="00DD3144">
            <w:r>
              <w:t>X</w:t>
            </w:r>
          </w:p>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514CF7AF" w:rsidR="00484663" w:rsidRDefault="00A319AE" w:rsidP="00DD3144">
            <w:r>
              <w:t>X</w:t>
            </w:r>
          </w:p>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3E20FE7E" w:rsidR="00484663" w:rsidRDefault="00A319AE" w:rsidP="00DD3144">
            <w:r>
              <w:t>X</w:t>
            </w:r>
          </w:p>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5571696D" w:rsidR="00484663" w:rsidRDefault="00A319AE"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0A1A3B83" w:rsidR="00484663" w:rsidRDefault="00A319AE" w:rsidP="00DD3144">
            <w:r>
              <w:t>X</w:t>
            </w:r>
          </w:p>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3ED3700E" w14:textId="4459234C" w:rsidR="00113749" w:rsidRDefault="00113749" w:rsidP="001C23F6">
            <w:pPr>
              <w:jc w:val="both"/>
            </w:pPr>
            <w:r>
              <w:t>The policy tool requires company to disclose:</w:t>
            </w:r>
          </w:p>
          <w:p w14:paraId="30F411FA" w14:textId="01256D6A" w:rsidR="00113749" w:rsidRDefault="00113749" w:rsidP="001C23F6">
            <w:pPr>
              <w:jc w:val="both"/>
            </w:pPr>
            <w:r>
              <w:t>- in relation to climate-related opportunities: o</w:t>
            </w:r>
            <w:r w:rsidRPr="00113749">
              <w:t xml:space="preserve">pportunities related to sustainability matters. As part of the description of the business model and strategy, both individual and consolidated reports must indicate </w:t>
            </w:r>
            <w:r w:rsidR="001C23F6">
              <w:t>“</w:t>
            </w:r>
            <w:r w:rsidRPr="00113749">
              <w:t>the opportunities for the enterprise connected with sustainability issues</w:t>
            </w:r>
            <w:r w:rsidR="001C23F6">
              <w:t>”</w:t>
            </w:r>
            <w:r>
              <w:t>;</w:t>
            </w:r>
          </w:p>
          <w:p w14:paraId="671B4EF6" w14:textId="05DD00DB" w:rsidR="00113749" w:rsidRDefault="00EB250F" w:rsidP="001C23F6">
            <w:pPr>
              <w:jc w:val="both"/>
            </w:pPr>
            <w:r>
              <w:t>- i</w:t>
            </w:r>
            <w:r w:rsidR="00113749">
              <w:t xml:space="preserve">n relation to the </w:t>
            </w:r>
            <w:r>
              <w:t>r</w:t>
            </w:r>
            <w:r w:rsidRPr="001C23F6">
              <w:t xml:space="preserve">emuneration </w:t>
            </w:r>
            <w:r>
              <w:t>b</w:t>
            </w:r>
            <w:r w:rsidRPr="001C23F6">
              <w:t xml:space="preserve">ased on </w:t>
            </w:r>
            <w:r>
              <w:t>c</w:t>
            </w:r>
            <w:r w:rsidRPr="001C23F6">
              <w:t>limate-</w:t>
            </w:r>
            <w:r>
              <w:t>r</w:t>
            </w:r>
            <w:r w:rsidRPr="001C23F6">
              <w:t xml:space="preserve">elated </w:t>
            </w:r>
            <w:r>
              <w:t>g</w:t>
            </w:r>
            <w:r w:rsidRPr="001C23F6">
              <w:t>oals</w:t>
            </w:r>
            <w:r w:rsidRPr="00EB250F">
              <w:t>:</w:t>
            </w:r>
            <w:r>
              <w:t xml:space="preserve"> r</w:t>
            </w:r>
            <w:r w:rsidRPr="00EB250F">
              <w:t xml:space="preserve">emuneration policies tied to sustainability. The sustainability report must include </w:t>
            </w:r>
            <w:r w:rsidR="001C23F6">
              <w:t>“</w:t>
            </w:r>
            <w:r w:rsidRPr="00EB250F">
              <w:t>information on the existence of incentive systems linked to sustainability issues and which are intended for members of the administrative and control bodies</w:t>
            </w:r>
            <w:r w:rsidR="001C23F6">
              <w:t>”</w:t>
            </w:r>
            <w:r>
              <w:t>;</w:t>
            </w:r>
          </w:p>
          <w:p w14:paraId="6477CE75" w14:textId="5859C16E" w:rsidR="00EB250F" w:rsidRDefault="00EB250F" w:rsidP="001C23F6">
            <w:pPr>
              <w:jc w:val="both"/>
            </w:pPr>
            <w:r>
              <w:t xml:space="preserve">- in relation to the capital allocation and expenditure plan: </w:t>
            </w:r>
            <w:r w:rsidRPr="00EB250F">
              <w:t>financial and investment plans related to the climate transition. The report must detail the company</w:t>
            </w:r>
            <w:r w:rsidR="001C23F6">
              <w:t>’</w:t>
            </w:r>
            <w:r w:rsidRPr="00EB250F">
              <w:t>s or group</w:t>
            </w:r>
            <w:r w:rsidR="001C23F6">
              <w:t>’</w:t>
            </w:r>
            <w:r w:rsidRPr="00EB250F">
              <w:t xml:space="preserve">s plans, including </w:t>
            </w:r>
            <w:r w:rsidR="001C23F6">
              <w:t>“</w:t>
            </w:r>
            <w:r w:rsidRPr="00EB250F">
              <w:t>implementation actions and related financial and investment plans, to ensure that the business model and strategy are compatible with the transition to a sustainable economy</w:t>
            </w:r>
            <w:r w:rsidR="001C23F6">
              <w:t>”</w:t>
            </w:r>
            <w:r w:rsidRPr="00EB250F">
              <w:t xml:space="preserve"> and with climate neutrality goals</w:t>
            </w:r>
            <w:r>
              <w:t>;</w:t>
            </w:r>
          </w:p>
          <w:p w14:paraId="4DFE35C3" w14:textId="760913AF" w:rsidR="00EB250F" w:rsidRDefault="00EB250F" w:rsidP="001C23F6">
            <w:pPr>
              <w:jc w:val="both"/>
            </w:pPr>
            <w:r>
              <w:t xml:space="preserve">- in relation to ESG methodologies and criteria: </w:t>
            </w:r>
            <w:r w:rsidR="001C23F6">
              <w:t>“</w:t>
            </w:r>
            <w:r w:rsidRPr="00EB250F">
              <w:t>procedures implemented to identify the information</w:t>
            </w:r>
            <w:r w:rsidR="001C23F6">
              <w:t>”</w:t>
            </w:r>
            <w:r w:rsidRPr="00EB250F">
              <w:t xml:space="preserve"> that is included in the sustainability report</w:t>
            </w:r>
            <w:r>
              <w:t xml:space="preserve"> and all i</w:t>
            </w:r>
            <w:r w:rsidRPr="00EB250F">
              <w:t xml:space="preserve">nformation </w:t>
            </w:r>
            <w:r w:rsidR="001C23F6">
              <w:t>“</w:t>
            </w:r>
            <w:r w:rsidRPr="00EB250F">
              <w:t>in conformity with the reporting standards</w:t>
            </w:r>
            <w:r w:rsidR="001C23F6">
              <w:t>”</w:t>
            </w:r>
            <w:r w:rsidRPr="00EB250F">
              <w:t xml:space="preserve"> adopted by the European Commission, which prescribe the detailed criteria and methodologies to be followed</w:t>
            </w:r>
            <w:r>
              <w:t>;</w:t>
            </w:r>
          </w:p>
          <w:p w14:paraId="66C729B1" w14:textId="7B05361A" w:rsidR="00EB250F" w:rsidRDefault="00EB250F" w:rsidP="001C23F6">
            <w:pPr>
              <w:jc w:val="both"/>
            </w:pPr>
            <w:r>
              <w:t xml:space="preserve">- in relation to climate-related lobbying and policy engagement: </w:t>
            </w:r>
            <w:r w:rsidRPr="00EB250F">
              <w:t>ow the company</w:t>
            </w:r>
            <w:r w:rsidR="001C23F6">
              <w:t>’</w:t>
            </w:r>
            <w:r w:rsidRPr="00EB250F">
              <w:t xml:space="preserve">s strategy </w:t>
            </w:r>
            <w:r w:rsidR="001C23F6">
              <w:t>“</w:t>
            </w:r>
            <w:r w:rsidRPr="00EB250F">
              <w:t>takes into account the interests of its stakeholders</w:t>
            </w:r>
            <w:r w:rsidR="001C23F6">
              <w:t>”</w:t>
            </w:r>
            <w:r w:rsidRPr="00EB250F">
              <w:t xml:space="preserve"> and </w:t>
            </w:r>
            <w:r w:rsidR="001C23F6">
              <w:t>“</w:t>
            </w:r>
            <w:r w:rsidRPr="00EB250F">
              <w:t>the methods of implementing the company</w:t>
            </w:r>
            <w:r w:rsidR="001C23F6">
              <w:t>’</w:t>
            </w:r>
            <w:r w:rsidRPr="00EB250F">
              <w:t>s strategy with regard to sustainability matters,</w:t>
            </w:r>
            <w:r w:rsidR="001C23F6">
              <w:t>”</w:t>
            </w:r>
            <w:r w:rsidRPr="00EB250F">
              <w:t xml:space="preserve"> which would include policy engagement and interactions with policymakers</w:t>
            </w:r>
            <w:r>
              <w:t>;</w:t>
            </w:r>
          </w:p>
          <w:p w14:paraId="3AE0EDD8" w14:textId="77777777" w:rsidR="00EB250F" w:rsidRDefault="00EB250F" w:rsidP="001C23F6">
            <w:pPr>
              <w:jc w:val="both"/>
            </w:pPr>
            <w:r>
              <w:t>- in relation to locked-in emissions (emissive assets with long lifespans):</w:t>
            </w:r>
            <w:r w:rsidRPr="00EB250F">
              <w:rPr>
                <w:rFonts w:ascii="__Inter_Fallback_e8ce0c" w:hAnsi="__Inter_Fallback_e8ce0c"/>
                <w:color w:val="171717"/>
                <w:shd w:val="clear" w:color="auto" w:fill="FFFFFF"/>
              </w:rPr>
              <w:t xml:space="preserve"> </w:t>
            </w:r>
            <w:r>
              <w:rPr>
                <w:rFonts w:ascii="__Inter_Fallback_e8ce0c" w:hAnsi="__Inter_Fallback_e8ce0c"/>
                <w:color w:val="171717"/>
                <w:shd w:val="clear" w:color="auto" w:fill="FFFFFF"/>
              </w:rPr>
              <w:t xml:space="preserve">(i) </w:t>
            </w:r>
            <w:r w:rsidRPr="00EB250F">
              <w:t>exposure of the company to activities related to coal, oil, and gas</w:t>
            </w:r>
            <w:r>
              <w:t xml:space="preserve">, (ii) </w:t>
            </w:r>
            <w:r w:rsidRPr="00EB250F">
              <w:t>principal risks for the company connected to sustainability issues,</w:t>
            </w:r>
            <w:r>
              <w:t xml:space="preserve"> </w:t>
            </w:r>
            <w:r w:rsidRPr="00EB250F">
              <w:t>which includes transition risks from long-life emissive assets</w:t>
            </w:r>
            <w:r>
              <w:t xml:space="preserve">; (iii) </w:t>
            </w:r>
            <w:r w:rsidRPr="00EB250F">
              <w:t>principal negative impacts, actual or potential, linked to the activities of the company and its value chain,</w:t>
            </w:r>
            <w:r>
              <w:t xml:space="preserve"> </w:t>
            </w:r>
            <w:r w:rsidRPr="00EB250F">
              <w:t>which covers emissions from such assets</w:t>
            </w:r>
            <w:r>
              <w:t>;</w:t>
            </w:r>
          </w:p>
          <w:p w14:paraId="182545B5" w14:textId="492073C0" w:rsidR="00EB250F" w:rsidRDefault="00EB250F" w:rsidP="001C23F6">
            <w:pPr>
              <w:jc w:val="both"/>
            </w:pPr>
            <w:r>
              <w:t xml:space="preserve">- in relation to nature-related impacts: </w:t>
            </w:r>
            <w:r w:rsidRPr="00EB250F">
              <w:t xml:space="preserve">impact on sustainability issues and provide a description of the </w:t>
            </w:r>
            <w:r w:rsidR="001C23F6">
              <w:t>“</w:t>
            </w:r>
            <w:r w:rsidRPr="00EB250F">
              <w:t>principal negative impacts, actual or potential, linked to the activities of the company and its value chain</w:t>
            </w:r>
            <w:r w:rsidR="001C23F6">
              <w:t>”</w:t>
            </w:r>
            <w:r w:rsidRPr="00EB250F">
              <w:t xml:space="preserve"> which encompasses impacts on nature and the environment</w:t>
            </w:r>
            <w:r w:rsidR="00220166">
              <w:t>;</w:t>
            </w:r>
          </w:p>
          <w:p w14:paraId="2D2B54FE" w14:textId="31F0E1D5" w:rsidR="00220166" w:rsidRDefault="00220166" w:rsidP="001C23F6">
            <w:pPr>
              <w:jc w:val="both"/>
            </w:pPr>
            <w:r>
              <w:t xml:space="preserve">- in relation to </w:t>
            </w:r>
            <w:r w:rsidRPr="001C23F6">
              <w:t>just transition indicators</w:t>
            </w:r>
            <w:r>
              <w:t>: h</w:t>
            </w:r>
            <w:r w:rsidRPr="00220166">
              <w:t>ow the</w:t>
            </w:r>
            <w:r>
              <w:t xml:space="preserve"> companies’ </w:t>
            </w:r>
            <w:r w:rsidRPr="00220166">
              <w:t>strategy considers the interests of stakeholders (including employees and communities)</w:t>
            </w:r>
            <w:r>
              <w:t>; t</w:t>
            </w:r>
            <w:r w:rsidRPr="00220166">
              <w:t>he principal actual or potential negative impacts on people, including those arising from transition plans, and the due diligence procedures applied to manage them</w:t>
            </w:r>
            <w:r>
              <w:t>; h</w:t>
            </w:r>
            <w:r w:rsidRPr="00220166">
              <w:t xml:space="preserve">ow </w:t>
            </w:r>
            <w:r>
              <w:t xml:space="preserve">the companies </w:t>
            </w:r>
            <w:r w:rsidRPr="00220166">
              <w:t>inform and discuss sustainability information with workers</w:t>
            </w:r>
            <w:r w:rsidR="001C23F6">
              <w:t>’</w:t>
            </w:r>
            <w:r w:rsidRPr="00220166">
              <w:t xml:space="preserve"> representatives</w:t>
            </w:r>
            <w:r>
              <w:t>.</w:t>
            </w:r>
          </w:p>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10" w:name="_Toc198223604"/>
      <w:r>
        <w:rPr>
          <w:rFonts w:ascii="Calibri" w:hAnsi="Calibri" w:cs="Calibri"/>
        </w:rPr>
        <w:t xml:space="preserve">Section 1.3: </w:t>
      </w:r>
      <w:r w:rsidR="00122733" w:rsidRPr="33822AF7">
        <w:rPr>
          <w:rFonts w:ascii="Calibri" w:hAnsi="Calibri" w:cs="Calibri"/>
        </w:rPr>
        <w:t>Standards and Frameworks</w:t>
      </w:r>
      <w:bookmarkEnd w:id="10"/>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E2569DA" w:rsidR="00DA416F" w:rsidRPr="00DD3144" w:rsidRDefault="00220166"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DC98C03" w:rsidR="00DA416F" w:rsidRPr="00DD3144" w:rsidRDefault="00220166"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B700EB8" w:rsidR="00DA416F" w:rsidRPr="00DD3144" w:rsidRDefault="00220166"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B949BF9" w:rsidR="00DA416F" w:rsidRPr="00DD3144" w:rsidRDefault="00220166"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D9CA8FB" w:rsidR="00DA416F" w:rsidRPr="00DD3144" w:rsidRDefault="00220166"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BC84F4C" w:rsidR="00DA416F" w:rsidRPr="00DD3144" w:rsidRDefault="00220166"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A25D1C4" w:rsidR="00DA416F" w:rsidRPr="00DD3144" w:rsidRDefault="00220166"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5DE1B6B" w:rsidR="00DA416F" w:rsidRPr="00DD3144" w:rsidRDefault="00220166"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E2C1E71" w:rsidR="00DA416F" w:rsidRPr="00DD3144" w:rsidRDefault="00220166"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4B74569D" w:rsidR="00DA416F" w:rsidRPr="00DD3144" w:rsidRDefault="00220166" w:rsidP="00DD3144">
            <w:pPr>
              <w:keepNext/>
              <w:rPr>
                <w:rFonts w:ascii="Calibri" w:hAnsi="Calibri" w:cs="Calibri"/>
              </w:rPr>
            </w:pPr>
            <w:r>
              <w:rPr>
                <w:rFonts w:ascii="Calibri" w:hAnsi="Calibri" w:cs="Calibri"/>
              </w:rPr>
              <w:t>X</w:t>
            </w: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A926065"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796DD43" w:rsidR="00DA416F" w:rsidRPr="00DD3144" w:rsidRDefault="00220166"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8C731C8" w:rsidR="00DA416F" w:rsidRPr="00DD3144" w:rsidRDefault="00220166"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1D2B53F" w:rsidR="00DA416F" w:rsidRPr="00DD3144" w:rsidRDefault="00220166"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17BDC562" w:rsidR="00DA416F" w:rsidRPr="00DD3144" w:rsidRDefault="00220166"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Titolo1"/>
      </w:pPr>
      <w:bookmarkStart w:id="11" w:name="_Toc198223605"/>
      <w:r>
        <w:lastRenderedPageBreak/>
        <w:t>Domain 2: Transition Planning</w:t>
      </w:r>
      <w:bookmarkEnd w:id="11"/>
    </w:p>
    <w:p w14:paraId="0CA57B64" w14:textId="2923536F" w:rsidR="00F41EE0" w:rsidRDefault="005E50FD" w:rsidP="00F41EE0">
      <w:pPr>
        <w:pStyle w:val="Titolo2"/>
      </w:pPr>
      <w:bookmarkStart w:id="12" w:name="_Toc198223606"/>
      <w:r>
        <w:t xml:space="preserve">Section 2.1: </w:t>
      </w:r>
      <w:r w:rsidR="00F41EE0">
        <w:t>Who is being targeted?</w:t>
      </w:r>
      <w:bookmarkEnd w:id="12"/>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6E781D"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6E781D" w:rsidRDefault="004F276F" w:rsidP="00C37D48">
            <w:pPr>
              <w:rPr>
                <w:rFonts w:ascii="Calibri" w:hAnsi="Calibri" w:cs="Calibri"/>
                <w:lang w:val="fr-FR"/>
              </w:rPr>
            </w:pPr>
            <w:r w:rsidRPr="006E781D">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6E781D" w:rsidRDefault="004F276F" w:rsidP="00C37D48">
            <w:pPr>
              <w:rPr>
                <w:rFonts w:ascii="Calibri" w:hAnsi="Calibri" w:cs="Calibri"/>
                <w:lang w:val="fr-FR"/>
              </w:rPr>
            </w:pPr>
          </w:p>
        </w:tc>
      </w:tr>
      <w:tr w:rsidR="004F276F" w:rsidRPr="006E78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13" w:name="_Toc198223607"/>
      <w:r>
        <w:lastRenderedPageBreak/>
        <w:t xml:space="preserve">Section 2.2: </w:t>
      </w:r>
      <w:r w:rsidR="00F41EE0">
        <w:t>Disclosure of Plans and Targets</w:t>
      </w:r>
      <w:bookmarkEnd w:id="13"/>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14" w:name="_Toc198223608"/>
      <w:r>
        <w:t xml:space="preserve">Section 2.3: </w:t>
      </w:r>
      <w:r w:rsidR="00F41EE0">
        <w:t>Target Setting</w:t>
      </w:r>
      <w:bookmarkEnd w:id="14"/>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5" w:name="_Toc198223609"/>
      <w:r>
        <w:t xml:space="preserve">Section 2.4: </w:t>
      </w:r>
      <w:r w:rsidR="00951BBE">
        <w:t>GHG Emissions Reductions Targets</w:t>
      </w:r>
      <w:bookmarkEnd w:id="15"/>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6E781D"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6E781D" w:rsidRDefault="003A2E5E" w:rsidP="00C37D48">
            <w:pPr>
              <w:rPr>
                <w:rFonts w:ascii="Calibri" w:hAnsi="Calibri" w:cs="Calibri"/>
                <w:lang w:val="fr-FR"/>
              </w:rPr>
            </w:pPr>
            <w:r w:rsidRPr="006E781D">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6E781D"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6" w:name="_Toc198223610"/>
      <w:r>
        <w:t xml:space="preserve">Section 2.5: </w:t>
      </w:r>
      <w:r w:rsidR="00950B68">
        <w:t>Transition Planning</w:t>
      </w:r>
      <w:bookmarkEnd w:id="16"/>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7" w:name="_Toc198223611"/>
      <w:r>
        <w:t xml:space="preserve">Section 2.6: </w:t>
      </w:r>
      <w:r w:rsidR="00950B68">
        <w:t>Standards and Frameworks</w:t>
      </w:r>
      <w:bookmarkEnd w:id="17"/>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8" w:name="_Toc198223612"/>
      <w:r>
        <w:lastRenderedPageBreak/>
        <w:t>Domain 3: Public Procurement</w:t>
      </w:r>
      <w:bookmarkEnd w:id="18"/>
      <w:r>
        <w:t xml:space="preserve"> </w:t>
      </w:r>
    </w:p>
    <w:p w14:paraId="0D8B4B9F" w14:textId="5E2943CF" w:rsidR="00950B68" w:rsidRPr="00950B68" w:rsidRDefault="005E50FD" w:rsidP="00950B68">
      <w:pPr>
        <w:pStyle w:val="Titolo2"/>
      </w:pPr>
      <w:bookmarkStart w:id="19" w:name="_Toc198223613"/>
      <w:r>
        <w:t xml:space="preserve">Section 3.1: </w:t>
      </w:r>
      <w:r w:rsidR="00950B68">
        <w:t>Who is being targeted?</w:t>
      </w:r>
      <w:bookmarkEnd w:id="19"/>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0"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E781D"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E781D" w:rsidRDefault="00C66EE0" w:rsidP="00610F28">
            <w:pPr>
              <w:rPr>
                <w:rFonts w:ascii="Calibri" w:hAnsi="Calibri" w:cs="Calibri"/>
                <w:lang w:val="fr-FR"/>
              </w:rPr>
            </w:pPr>
            <w:r w:rsidRPr="006E781D">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6E781D" w:rsidRDefault="00C66EE0" w:rsidP="00610F28">
            <w:pPr>
              <w:rPr>
                <w:rFonts w:ascii="Calibri" w:hAnsi="Calibri" w:cs="Calibri"/>
                <w:lang w:val="fr-FR"/>
              </w:rPr>
            </w:pPr>
          </w:p>
        </w:tc>
      </w:tr>
      <w:tr w:rsidR="00241257" w:rsidRPr="006E78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1"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0"/>
      <w:bookmarkEnd w:id="21"/>
    </w:tbl>
    <w:p w14:paraId="712268FA" w14:textId="77777777" w:rsidR="00B802FC" w:rsidRDefault="00B802FC"/>
    <w:p w14:paraId="59E94F30" w14:textId="5EC9D13E" w:rsidR="00436F24" w:rsidRDefault="005E50FD" w:rsidP="00436F24">
      <w:pPr>
        <w:pStyle w:val="Titolo2"/>
      </w:pPr>
      <w:bookmarkStart w:id="22" w:name="_Toc198223614"/>
      <w:r>
        <w:t xml:space="preserve">Section 3.2: </w:t>
      </w:r>
      <w:r w:rsidR="00436F24">
        <w:t>Procurement Cycle</w:t>
      </w:r>
      <w:bookmarkEnd w:id="22"/>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23" w:name="_Toc198223615"/>
      <w:r>
        <w:t xml:space="preserve">Section 3.3: </w:t>
      </w:r>
      <w:r w:rsidR="002E5ACB">
        <w:t>Life</w:t>
      </w:r>
      <w:r w:rsidR="00DF4489">
        <w:t>-cycle or Whole-life Costing</w:t>
      </w:r>
      <w:bookmarkEnd w:id="23"/>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24" w:name="_Toc198223616"/>
      <w:r>
        <w:t xml:space="preserve">Section 3.4: </w:t>
      </w:r>
      <w:r w:rsidR="00062526">
        <w:t>Tendering or Solicitation Stage</w:t>
      </w:r>
      <w:bookmarkEnd w:id="24"/>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5" w:name="_Toc198223617"/>
      <w:r>
        <w:lastRenderedPageBreak/>
        <w:t xml:space="preserve">Section 3.5: </w:t>
      </w:r>
      <w:r w:rsidR="00064195">
        <w:t>Exclusion or Debarment Grounds</w:t>
      </w:r>
      <w:bookmarkEnd w:id="25"/>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6" w:name="_Toc198223618"/>
      <w:r>
        <w:t xml:space="preserve">Section 3.6: </w:t>
      </w:r>
      <w:r w:rsidR="00C85DD9">
        <w:t>Qualification or Selection Criteria</w:t>
      </w:r>
      <w:bookmarkEnd w:id="26"/>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7" w:name="_Toc198223619"/>
      <w:r>
        <w:t xml:space="preserve">Section 3.7: </w:t>
      </w:r>
      <w:r w:rsidR="00A42235">
        <w:t>Technical specifications</w:t>
      </w:r>
      <w:bookmarkEnd w:id="27"/>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8" w:name="_Toc198223620"/>
      <w:r>
        <w:t xml:space="preserve">Section 3.8: </w:t>
      </w:r>
      <w:r w:rsidR="001E7C37">
        <w:t>Contract Performance</w:t>
      </w:r>
      <w:bookmarkEnd w:id="28"/>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9" w:name="_Toc198223621"/>
      <w:r>
        <w:t xml:space="preserve">Section 3.9: </w:t>
      </w:r>
      <w:r w:rsidR="00950B68">
        <w:t>Standards and Frameworks</w:t>
      </w:r>
      <w:bookmarkEnd w:id="29"/>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30" w:name="_Toc198223622"/>
      <w:r>
        <w:lastRenderedPageBreak/>
        <w:t>Domain 4: Carbon Credits</w:t>
      </w:r>
      <w:bookmarkEnd w:id="30"/>
    </w:p>
    <w:p w14:paraId="25C35D8C" w14:textId="52BD279F" w:rsidR="001C0769" w:rsidRPr="001C0769" w:rsidRDefault="000428FA" w:rsidP="001C0769">
      <w:pPr>
        <w:pStyle w:val="Titolo2"/>
      </w:pPr>
      <w:bookmarkStart w:id="31" w:name="_Toc198223623"/>
      <w:r>
        <w:t xml:space="preserve">Section </w:t>
      </w:r>
      <w:r w:rsidR="00B20D58">
        <w:t>4</w:t>
      </w:r>
      <w:r>
        <w:t xml:space="preserve">.1: </w:t>
      </w:r>
      <w:r w:rsidR="001C0769">
        <w:t>Who is being targeted?</w:t>
      </w:r>
      <w:bookmarkEnd w:id="31"/>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6E781D"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6E781D" w:rsidRDefault="00092534" w:rsidP="00CF2E7C">
            <w:pPr>
              <w:rPr>
                <w:rFonts w:ascii="Calibri" w:hAnsi="Calibri" w:cs="Calibri"/>
                <w:lang w:val="fr-FR"/>
              </w:rPr>
            </w:pPr>
            <w:r w:rsidRPr="006E781D">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6E781D" w:rsidRDefault="00092534" w:rsidP="00CF2E7C">
            <w:pPr>
              <w:rPr>
                <w:rFonts w:ascii="Calibri" w:hAnsi="Calibri" w:cs="Calibri"/>
                <w:lang w:val="fr-FR"/>
              </w:rPr>
            </w:pPr>
          </w:p>
        </w:tc>
      </w:tr>
      <w:tr w:rsidR="00092534" w:rsidRPr="006E781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3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33" w:name="_Toc198223625"/>
      <w:r>
        <w:t xml:space="preserve">Section </w:t>
      </w:r>
      <w:r w:rsidR="00B20D58">
        <w:t>4</w:t>
      </w:r>
      <w:r>
        <w:t xml:space="preserve">.3: </w:t>
      </w:r>
      <w:r w:rsidR="001C0769" w:rsidRPr="009C4D10">
        <w:t>Governance of Carbon Credits</w:t>
      </w:r>
      <w:bookmarkEnd w:id="3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4" w:name="_4.3.1_Governance_of"/>
            <w:bookmarkEnd w:id="3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5" w:name="_Toc198223626"/>
      <w:r>
        <w:rPr>
          <w:lang w:eastAsia="en-GB"/>
        </w:rPr>
        <w:t xml:space="preserve">Section 4.4: </w:t>
      </w:r>
      <w:r w:rsidR="00F01EE6">
        <w:rPr>
          <w:lang w:eastAsia="en-GB"/>
        </w:rPr>
        <w:t>Policy goal-specific questions</w:t>
      </w:r>
      <w:bookmarkEnd w:id="35"/>
    </w:p>
    <w:p w14:paraId="2A9A2B53" w14:textId="264B0D10" w:rsidR="001C0769" w:rsidRPr="009C4D10" w:rsidRDefault="001C0769" w:rsidP="00B20D58">
      <w:pPr>
        <w:pStyle w:val="Titolo3"/>
        <w:rPr>
          <w:rFonts w:eastAsia="Times New Roman"/>
          <w:kern w:val="0"/>
          <w:lang w:eastAsia="en-GB"/>
          <w14:ligatures w14:val="none"/>
        </w:rPr>
      </w:pPr>
      <w:bookmarkStart w:id="36" w:name="_Section_1:_Criteria"/>
      <w:bookmarkStart w:id="37" w:name="_Toc198223627"/>
      <w:bookmarkEnd w:id="36"/>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8" w:name="_Section_2:_Carbon"/>
      <w:bookmarkStart w:id="39" w:name="_Toc198223628"/>
      <w:bookmarkEnd w:id="38"/>
      <w:r>
        <w:t xml:space="preserve">Section </w:t>
      </w:r>
      <w:r w:rsidR="00B20D58">
        <w:t>4</w:t>
      </w:r>
      <w:r w:rsidR="00D2196F">
        <w:t>.4.2</w:t>
      </w:r>
      <w:r>
        <w:t xml:space="preserve">: </w:t>
      </w:r>
      <w:r w:rsidRPr="009C4D10">
        <w:t>Carbon Credit Usage in Compliance Market and Voluntary Carbon Market</w:t>
      </w:r>
      <w:bookmarkEnd w:id="3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40" w:name="_Section_3:_Operationalizing"/>
      <w:bookmarkStart w:id="41" w:name="_Toc198223629"/>
      <w:bookmarkEnd w:id="40"/>
      <w:r>
        <w:t xml:space="preserve">Section </w:t>
      </w:r>
      <w:r w:rsidR="00B20D58">
        <w:t>4</w:t>
      </w:r>
      <w:r w:rsidR="004A54B3">
        <w:t>.4.3</w:t>
      </w:r>
      <w:r>
        <w:t xml:space="preserve">: </w:t>
      </w:r>
      <w:r w:rsidRPr="009C4D10">
        <w:t>Operationalizing Paris Agreement Article 6 provisions as they apply to carbon credits</w:t>
      </w:r>
      <w:bookmarkEnd w:id="4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42" w:name="_Section_4:_Exchange"/>
      <w:bookmarkStart w:id="43" w:name="_Toc198223630"/>
      <w:bookmarkEnd w:id="4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44" w:name="_Toc198223631"/>
      <w:r w:rsidRPr="009C4D10">
        <w:lastRenderedPageBreak/>
        <w:t>Domain 5: Prudential Tools</w:t>
      </w:r>
      <w:bookmarkEnd w:id="44"/>
    </w:p>
    <w:p w14:paraId="3E16913F" w14:textId="21F34EF6" w:rsidR="00AF3FC6" w:rsidRPr="00AF3FC6" w:rsidRDefault="00455E1B" w:rsidP="00AF3FC6">
      <w:pPr>
        <w:pStyle w:val="Titolo2"/>
      </w:pPr>
      <w:bookmarkStart w:id="45" w:name="_Toc198223632"/>
      <w:r>
        <w:t xml:space="preserve">Section 5.1: </w:t>
      </w:r>
      <w:r w:rsidR="00AF3FC6" w:rsidRPr="009C4D10">
        <w:t>Who is being targeted?</w:t>
      </w:r>
      <w:bookmarkEnd w:id="45"/>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6E781D"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6E781D" w:rsidRDefault="00DD292A" w:rsidP="00CF2E7C">
            <w:pPr>
              <w:rPr>
                <w:rFonts w:ascii="Calibri" w:hAnsi="Calibri" w:cs="Calibri"/>
                <w:lang w:val="fr-FR"/>
              </w:rPr>
            </w:pPr>
            <w:r w:rsidRPr="006E781D">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6E781D" w:rsidRDefault="00DD292A" w:rsidP="00CF2E7C">
            <w:pPr>
              <w:rPr>
                <w:rFonts w:ascii="Calibri" w:hAnsi="Calibri" w:cs="Calibri"/>
                <w:lang w:val="fr-FR"/>
              </w:rPr>
            </w:pPr>
          </w:p>
        </w:tc>
      </w:tr>
      <w:tr w:rsidR="00DD292A" w:rsidRPr="006E781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6" w:name="_Toc198223633"/>
      <w:r>
        <w:rPr>
          <w:lang w:val="en-SG"/>
        </w:rPr>
        <w:lastRenderedPageBreak/>
        <w:t xml:space="preserve">Section 5.2: </w:t>
      </w:r>
      <w:r w:rsidR="00FE66B1" w:rsidRPr="009C4D10">
        <w:rPr>
          <w:lang w:val="en-SG"/>
        </w:rPr>
        <w:t>Policy goal or function of the policy tool</w:t>
      </w:r>
      <w:bookmarkEnd w:id="46"/>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7" w:name="_Section_5.1:_Risk"/>
      <w:bookmarkStart w:id="48" w:name="_Toc198223634"/>
      <w:bookmarkEnd w:id="47"/>
      <w:r>
        <w:t>Section 5.</w:t>
      </w:r>
      <w:r w:rsidR="00455E1B">
        <w:t>2.</w:t>
      </w:r>
      <w:r>
        <w:t xml:space="preserve">1: </w:t>
      </w:r>
      <w:r w:rsidR="00B24E10" w:rsidRPr="009C4D10">
        <w:t>Risk management and governance</w:t>
      </w:r>
      <w:bookmarkEnd w:id="48"/>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9" w:name="_5.3.1_Risk_management"/>
            <w:bookmarkEnd w:id="49"/>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50" w:name="_Section_5.2:_Scenario"/>
      <w:bookmarkStart w:id="51" w:name="_Toc198223635"/>
      <w:bookmarkEnd w:id="50"/>
      <w:r>
        <w:t>Section 5.2</w:t>
      </w:r>
      <w:r w:rsidR="00455E1B">
        <w:t>.2</w:t>
      </w:r>
      <w:r>
        <w:t xml:space="preserve">: </w:t>
      </w:r>
      <w:r w:rsidRPr="009C4D10">
        <w:t>Scenario analysis and stress-testing</w:t>
      </w:r>
      <w:bookmarkEnd w:id="51"/>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2" w:name="_5.3.2_Scenario_analysis"/>
            <w:bookmarkEnd w:id="52"/>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53" w:name="_Section_5.3:_Capital"/>
      <w:bookmarkStart w:id="54" w:name="_Toc198223636"/>
      <w:bookmarkEnd w:id="53"/>
      <w:r>
        <w:t>Section 5.</w:t>
      </w:r>
      <w:r w:rsidR="00455E1B">
        <w:t>2.</w:t>
      </w:r>
      <w:r>
        <w:t xml:space="preserve">3: </w:t>
      </w:r>
      <w:r w:rsidRPr="009C4D10">
        <w:t>Capital and Liquidity Requirements</w:t>
      </w:r>
      <w:bookmarkEnd w:id="54"/>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5" w:name="_5.3.3_Capital_and"/>
            <w:bookmarkEnd w:id="55"/>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6" w:name="_Toc198223637"/>
      <w:r>
        <w:t xml:space="preserve">Section 5.3: </w:t>
      </w:r>
      <w:r w:rsidR="009E1E61">
        <w:t>Standards and Frameworks</w:t>
      </w:r>
      <w:bookmarkEnd w:id="56"/>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7" w:name="_Toc198223638"/>
      <w:r>
        <w:lastRenderedPageBreak/>
        <w:t>Domain 6: Methane Abatement</w:t>
      </w:r>
      <w:bookmarkEnd w:id="57"/>
    </w:p>
    <w:p w14:paraId="144EDD37" w14:textId="77777777" w:rsidR="002F0752" w:rsidRDefault="002F0752" w:rsidP="002F0752">
      <w:pPr>
        <w:pStyle w:val="Titolo2"/>
        <w:rPr>
          <w:rFonts w:ascii="Calibri" w:eastAsia="Calibri" w:hAnsi="Calibri" w:cs="Calibri"/>
          <w:color w:val="000000" w:themeColor="text1"/>
        </w:rPr>
      </w:pPr>
      <w:bookmarkStart w:id="58" w:name="_Toc198223639"/>
      <w:r>
        <w:t>Section 6.1: Who is being targeted?</w:t>
      </w:r>
      <w:bookmarkEnd w:id="58"/>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9" w:name="_Toc198223640"/>
      <w:r>
        <w:rPr>
          <w:rFonts w:eastAsia="Arial"/>
        </w:rPr>
        <w:t xml:space="preserve">Section 6.2: </w:t>
      </w:r>
      <w:r w:rsidRPr="26567C6B">
        <w:rPr>
          <w:rFonts w:eastAsia="Arial"/>
        </w:rPr>
        <w:t>National targets</w:t>
      </w:r>
      <w:bookmarkEnd w:id="59"/>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60" w:name="_Toc198223641"/>
      <w:r>
        <w:rPr>
          <w:rFonts w:eastAsia="Arial"/>
        </w:rPr>
        <w:lastRenderedPageBreak/>
        <w:t>Section 6.3: Methane Pricing</w:t>
      </w:r>
      <w:bookmarkEnd w:id="60"/>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61" w:name="_Toc198223642"/>
      <w:r>
        <w:rPr>
          <w:rFonts w:eastAsia="Arial"/>
        </w:rPr>
        <w:t xml:space="preserve">Section 6.4: </w:t>
      </w:r>
      <w:r w:rsidRPr="26567C6B">
        <w:rPr>
          <w:rFonts w:eastAsia="Arial"/>
        </w:rPr>
        <w:t>Source-specific rules</w:t>
      </w:r>
      <w:bookmarkEnd w:id="61"/>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62" w:name="_Toc198223643"/>
      <w:r>
        <w:rPr>
          <w:rFonts w:eastAsia="Arial"/>
        </w:rPr>
        <w:t xml:space="preserve">6.4.1 </w:t>
      </w:r>
      <w:r w:rsidRPr="26567C6B">
        <w:rPr>
          <w:rFonts w:eastAsia="Arial"/>
        </w:rPr>
        <w:t>Oil and Gas-Related Methane Emissions</w:t>
      </w:r>
      <w:bookmarkEnd w:id="62"/>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63" w:name="_Toc198223644"/>
      <w:r>
        <w:rPr>
          <w:rFonts w:eastAsia="Arial"/>
        </w:rPr>
        <w:t>6.</w:t>
      </w:r>
      <w:r w:rsidRPr="26567C6B">
        <w:rPr>
          <w:rFonts w:eastAsia="Arial"/>
        </w:rPr>
        <w:t>4.2 Coal-Related Methane Emissions</w:t>
      </w:r>
      <w:bookmarkEnd w:id="63"/>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64" w:name="_Toc198223645"/>
      <w:r>
        <w:rPr>
          <w:rFonts w:eastAsia="Arial"/>
        </w:rPr>
        <w:t>6.</w:t>
      </w:r>
      <w:r w:rsidRPr="26567C6B">
        <w:rPr>
          <w:rFonts w:eastAsia="Arial"/>
        </w:rPr>
        <w:t>4.3 Agriculture-Related Methane Emissions</w:t>
      </w:r>
      <w:bookmarkEnd w:id="64"/>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5"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5"/>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EC7D95" w14:textId="77777777" w:rsidR="00477740" w:rsidRDefault="00477740" w:rsidP="00874E39">
      <w:r>
        <w:separator/>
      </w:r>
    </w:p>
  </w:endnote>
  <w:endnote w:type="continuationSeparator" w:id="0">
    <w:p w14:paraId="12B4CAC5" w14:textId="77777777" w:rsidR="00477740" w:rsidRDefault="00477740" w:rsidP="00874E39">
      <w:r>
        <w:continuationSeparator/>
      </w:r>
    </w:p>
  </w:endnote>
  <w:endnote w:type="continuationNotice" w:id="1">
    <w:p w14:paraId="1D546225" w14:textId="77777777" w:rsidR="00477740" w:rsidRDefault="004777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__Inter_Fallback_e8ce0c">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6E86031"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5BA4EF" w14:textId="77777777" w:rsidR="00477740" w:rsidRDefault="00477740" w:rsidP="00874E39">
      <w:r>
        <w:separator/>
      </w:r>
    </w:p>
  </w:footnote>
  <w:footnote w:type="continuationSeparator" w:id="0">
    <w:p w14:paraId="1C3289D1" w14:textId="77777777" w:rsidR="00477740" w:rsidRDefault="00477740" w:rsidP="00874E39">
      <w:r>
        <w:continuationSeparator/>
      </w:r>
    </w:p>
  </w:footnote>
  <w:footnote w:type="continuationNotice" w:id="1">
    <w:p w14:paraId="316D6C42" w14:textId="77777777" w:rsidR="00477740" w:rsidRDefault="0047774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A0C3ACD"/>
    <w:multiLevelType w:val="hybridMultilevel"/>
    <w:tmpl w:val="2FA0958E"/>
    <w:lvl w:ilvl="0" w:tplc="6E8C6222">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5FF13A6"/>
    <w:multiLevelType w:val="hybridMultilevel"/>
    <w:tmpl w:val="B1B864B0"/>
    <w:lvl w:ilvl="0" w:tplc="BFA23F96">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1DA7CE1"/>
    <w:multiLevelType w:val="multilevel"/>
    <w:tmpl w:val="1E086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6"/>
  </w:num>
  <w:num w:numId="48" w16cid:durableId="318391343">
    <w:abstractNumId w:val="38"/>
  </w:num>
  <w:num w:numId="49" w16cid:durableId="1546286527">
    <w:abstractNumId w:val="27"/>
  </w:num>
  <w:num w:numId="50" w16cid:durableId="1127814599">
    <w:abstractNumId w:val="14"/>
  </w:num>
  <w:num w:numId="51" w16cid:durableId="1575043033">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3D6"/>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8BE"/>
    <w:rsid w:val="00012CE9"/>
    <w:rsid w:val="000147A5"/>
    <w:rsid w:val="00016AF3"/>
    <w:rsid w:val="00021C84"/>
    <w:rsid w:val="000235A5"/>
    <w:rsid w:val="000237AB"/>
    <w:rsid w:val="00024B36"/>
    <w:rsid w:val="00024B46"/>
    <w:rsid w:val="000251D4"/>
    <w:rsid w:val="00025699"/>
    <w:rsid w:val="00027241"/>
    <w:rsid w:val="00027314"/>
    <w:rsid w:val="00027BB2"/>
    <w:rsid w:val="00027D03"/>
    <w:rsid w:val="00030C1E"/>
    <w:rsid w:val="00031CEE"/>
    <w:rsid w:val="000332AF"/>
    <w:rsid w:val="000334B6"/>
    <w:rsid w:val="0003453A"/>
    <w:rsid w:val="00034EDB"/>
    <w:rsid w:val="00035464"/>
    <w:rsid w:val="000372C9"/>
    <w:rsid w:val="000403CE"/>
    <w:rsid w:val="00040F2E"/>
    <w:rsid w:val="00040F48"/>
    <w:rsid w:val="00041BB2"/>
    <w:rsid w:val="00042406"/>
    <w:rsid w:val="00042518"/>
    <w:rsid w:val="000428FA"/>
    <w:rsid w:val="00043EE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1AE"/>
    <w:rsid w:val="00067899"/>
    <w:rsid w:val="00067E05"/>
    <w:rsid w:val="000702AA"/>
    <w:rsid w:val="000704DB"/>
    <w:rsid w:val="00070A6C"/>
    <w:rsid w:val="00071C1F"/>
    <w:rsid w:val="0007502A"/>
    <w:rsid w:val="00075B10"/>
    <w:rsid w:val="00077947"/>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6D28"/>
    <w:rsid w:val="000D7158"/>
    <w:rsid w:val="000D727C"/>
    <w:rsid w:val="000D7472"/>
    <w:rsid w:val="000E0220"/>
    <w:rsid w:val="000E0404"/>
    <w:rsid w:val="000E14E6"/>
    <w:rsid w:val="000E1816"/>
    <w:rsid w:val="000E310E"/>
    <w:rsid w:val="000E3B90"/>
    <w:rsid w:val="000E3D35"/>
    <w:rsid w:val="000E6110"/>
    <w:rsid w:val="000E6A6A"/>
    <w:rsid w:val="000E78C0"/>
    <w:rsid w:val="000E7A8A"/>
    <w:rsid w:val="000F4459"/>
    <w:rsid w:val="000F4BBF"/>
    <w:rsid w:val="000F5E92"/>
    <w:rsid w:val="000F690C"/>
    <w:rsid w:val="000F6A41"/>
    <w:rsid w:val="000F6E3B"/>
    <w:rsid w:val="00101305"/>
    <w:rsid w:val="001014D9"/>
    <w:rsid w:val="001021EC"/>
    <w:rsid w:val="00104BA2"/>
    <w:rsid w:val="00104EB1"/>
    <w:rsid w:val="00105889"/>
    <w:rsid w:val="00105C84"/>
    <w:rsid w:val="00105F75"/>
    <w:rsid w:val="00106F13"/>
    <w:rsid w:val="00107674"/>
    <w:rsid w:val="001076B0"/>
    <w:rsid w:val="001078E1"/>
    <w:rsid w:val="00107CE2"/>
    <w:rsid w:val="00107D91"/>
    <w:rsid w:val="001108B9"/>
    <w:rsid w:val="001126A8"/>
    <w:rsid w:val="00112815"/>
    <w:rsid w:val="00112A2C"/>
    <w:rsid w:val="00112A6B"/>
    <w:rsid w:val="00113043"/>
    <w:rsid w:val="00113749"/>
    <w:rsid w:val="0011467E"/>
    <w:rsid w:val="001156F1"/>
    <w:rsid w:val="0011644D"/>
    <w:rsid w:val="00116A94"/>
    <w:rsid w:val="001174BF"/>
    <w:rsid w:val="001206CE"/>
    <w:rsid w:val="001221BA"/>
    <w:rsid w:val="00122504"/>
    <w:rsid w:val="00122733"/>
    <w:rsid w:val="00123A88"/>
    <w:rsid w:val="00124C48"/>
    <w:rsid w:val="00134550"/>
    <w:rsid w:val="00134681"/>
    <w:rsid w:val="00136F5B"/>
    <w:rsid w:val="00137257"/>
    <w:rsid w:val="00137BB2"/>
    <w:rsid w:val="00140468"/>
    <w:rsid w:val="00140A55"/>
    <w:rsid w:val="00140BD0"/>
    <w:rsid w:val="00141D8E"/>
    <w:rsid w:val="00142B76"/>
    <w:rsid w:val="00144B8F"/>
    <w:rsid w:val="00145138"/>
    <w:rsid w:val="001457F8"/>
    <w:rsid w:val="00146B77"/>
    <w:rsid w:val="001470A9"/>
    <w:rsid w:val="0015073F"/>
    <w:rsid w:val="00150B6F"/>
    <w:rsid w:val="00150BA9"/>
    <w:rsid w:val="00152C19"/>
    <w:rsid w:val="00153DBC"/>
    <w:rsid w:val="001546B4"/>
    <w:rsid w:val="00156468"/>
    <w:rsid w:val="00156AE2"/>
    <w:rsid w:val="00156CD5"/>
    <w:rsid w:val="0015734C"/>
    <w:rsid w:val="0016002C"/>
    <w:rsid w:val="00160486"/>
    <w:rsid w:val="001604B3"/>
    <w:rsid w:val="00161D1B"/>
    <w:rsid w:val="00162C1F"/>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0BFC"/>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3F6"/>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681"/>
    <w:rsid w:val="00203AA5"/>
    <w:rsid w:val="00203B08"/>
    <w:rsid w:val="002040F6"/>
    <w:rsid w:val="00204C4D"/>
    <w:rsid w:val="0020589D"/>
    <w:rsid w:val="00205D5A"/>
    <w:rsid w:val="002069B2"/>
    <w:rsid w:val="00206E20"/>
    <w:rsid w:val="00210E0F"/>
    <w:rsid w:val="00211851"/>
    <w:rsid w:val="002119B6"/>
    <w:rsid w:val="002122F2"/>
    <w:rsid w:val="0021535C"/>
    <w:rsid w:val="0021729E"/>
    <w:rsid w:val="00220166"/>
    <w:rsid w:val="00220F36"/>
    <w:rsid w:val="00222757"/>
    <w:rsid w:val="00222DFA"/>
    <w:rsid w:val="00222E01"/>
    <w:rsid w:val="0022414E"/>
    <w:rsid w:val="00224D9E"/>
    <w:rsid w:val="00226338"/>
    <w:rsid w:val="00227551"/>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A9C"/>
    <w:rsid w:val="00244207"/>
    <w:rsid w:val="00246630"/>
    <w:rsid w:val="00247DE7"/>
    <w:rsid w:val="002500FA"/>
    <w:rsid w:val="00250ED8"/>
    <w:rsid w:val="00250F54"/>
    <w:rsid w:val="0025129B"/>
    <w:rsid w:val="00253543"/>
    <w:rsid w:val="0025449C"/>
    <w:rsid w:val="0025486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97662"/>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77A"/>
    <w:rsid w:val="002B7D5C"/>
    <w:rsid w:val="002C060D"/>
    <w:rsid w:val="002C0DCE"/>
    <w:rsid w:val="002C14C2"/>
    <w:rsid w:val="002C169C"/>
    <w:rsid w:val="002C22F1"/>
    <w:rsid w:val="002C2336"/>
    <w:rsid w:val="002C5E2F"/>
    <w:rsid w:val="002C6925"/>
    <w:rsid w:val="002C75E1"/>
    <w:rsid w:val="002C77E1"/>
    <w:rsid w:val="002D1B2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8D6"/>
    <w:rsid w:val="00311F1B"/>
    <w:rsid w:val="00313275"/>
    <w:rsid w:val="00313E83"/>
    <w:rsid w:val="003175A1"/>
    <w:rsid w:val="003178B7"/>
    <w:rsid w:val="0032006F"/>
    <w:rsid w:val="00320263"/>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4AC"/>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DA2"/>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835"/>
    <w:rsid w:val="00372AEE"/>
    <w:rsid w:val="00374229"/>
    <w:rsid w:val="0037431D"/>
    <w:rsid w:val="0037453B"/>
    <w:rsid w:val="00375D49"/>
    <w:rsid w:val="003762A4"/>
    <w:rsid w:val="003770DA"/>
    <w:rsid w:val="00377281"/>
    <w:rsid w:val="0037E466"/>
    <w:rsid w:val="003811C3"/>
    <w:rsid w:val="003817C1"/>
    <w:rsid w:val="00381CDC"/>
    <w:rsid w:val="00381E8A"/>
    <w:rsid w:val="00381FD3"/>
    <w:rsid w:val="00385566"/>
    <w:rsid w:val="00386B53"/>
    <w:rsid w:val="003875C6"/>
    <w:rsid w:val="0038785C"/>
    <w:rsid w:val="0039010E"/>
    <w:rsid w:val="00390B82"/>
    <w:rsid w:val="00390EB0"/>
    <w:rsid w:val="00391566"/>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7B9"/>
    <w:rsid w:val="003F0AFE"/>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047"/>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13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740"/>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C1C"/>
    <w:rsid w:val="004A06B9"/>
    <w:rsid w:val="004A0B2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5002"/>
    <w:rsid w:val="004B666D"/>
    <w:rsid w:val="004B739E"/>
    <w:rsid w:val="004B742E"/>
    <w:rsid w:val="004B77AB"/>
    <w:rsid w:val="004C006D"/>
    <w:rsid w:val="004C20B7"/>
    <w:rsid w:val="004C3866"/>
    <w:rsid w:val="004C3A52"/>
    <w:rsid w:val="004C6739"/>
    <w:rsid w:val="004C6744"/>
    <w:rsid w:val="004C6D9F"/>
    <w:rsid w:val="004C70AC"/>
    <w:rsid w:val="004D2730"/>
    <w:rsid w:val="004D3416"/>
    <w:rsid w:val="004D5810"/>
    <w:rsid w:val="004D6484"/>
    <w:rsid w:val="004D7C53"/>
    <w:rsid w:val="004E4F56"/>
    <w:rsid w:val="004E51B5"/>
    <w:rsid w:val="004F0C55"/>
    <w:rsid w:val="004F276F"/>
    <w:rsid w:val="004F44A9"/>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35DD"/>
    <w:rsid w:val="00574C66"/>
    <w:rsid w:val="005758ED"/>
    <w:rsid w:val="00575D67"/>
    <w:rsid w:val="00576C68"/>
    <w:rsid w:val="00576ED8"/>
    <w:rsid w:val="005774C5"/>
    <w:rsid w:val="00580679"/>
    <w:rsid w:val="0058109E"/>
    <w:rsid w:val="00582798"/>
    <w:rsid w:val="00582995"/>
    <w:rsid w:val="00584EE1"/>
    <w:rsid w:val="00586A0A"/>
    <w:rsid w:val="005870D5"/>
    <w:rsid w:val="005871E7"/>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5681"/>
    <w:rsid w:val="005C6A1D"/>
    <w:rsid w:val="005C765C"/>
    <w:rsid w:val="005C7DF6"/>
    <w:rsid w:val="005D02C9"/>
    <w:rsid w:val="005D26E0"/>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21B"/>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BE6"/>
    <w:rsid w:val="00630D85"/>
    <w:rsid w:val="006315AE"/>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343"/>
    <w:rsid w:val="00656A7C"/>
    <w:rsid w:val="006621B6"/>
    <w:rsid w:val="00662657"/>
    <w:rsid w:val="006636CE"/>
    <w:rsid w:val="00663D94"/>
    <w:rsid w:val="00664677"/>
    <w:rsid w:val="00665488"/>
    <w:rsid w:val="00666CB6"/>
    <w:rsid w:val="00671EA4"/>
    <w:rsid w:val="006736BC"/>
    <w:rsid w:val="006746D5"/>
    <w:rsid w:val="0067532A"/>
    <w:rsid w:val="00675752"/>
    <w:rsid w:val="006760C1"/>
    <w:rsid w:val="006770B7"/>
    <w:rsid w:val="006801E4"/>
    <w:rsid w:val="00683A9D"/>
    <w:rsid w:val="00683DB5"/>
    <w:rsid w:val="00685A4F"/>
    <w:rsid w:val="006878AC"/>
    <w:rsid w:val="00690B2A"/>
    <w:rsid w:val="0069347D"/>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204"/>
    <w:rsid w:val="006B2C46"/>
    <w:rsid w:val="006B4FC8"/>
    <w:rsid w:val="006B6168"/>
    <w:rsid w:val="006B61C2"/>
    <w:rsid w:val="006B7780"/>
    <w:rsid w:val="006B7B0D"/>
    <w:rsid w:val="006C0BEF"/>
    <w:rsid w:val="006C0C8C"/>
    <w:rsid w:val="006C1651"/>
    <w:rsid w:val="006C1E5D"/>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81D"/>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DFF"/>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1C82"/>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D38"/>
    <w:rsid w:val="007600D1"/>
    <w:rsid w:val="007615D2"/>
    <w:rsid w:val="00763C64"/>
    <w:rsid w:val="00764D1A"/>
    <w:rsid w:val="00764DB3"/>
    <w:rsid w:val="00765130"/>
    <w:rsid w:val="007653FB"/>
    <w:rsid w:val="0076706A"/>
    <w:rsid w:val="00767BB7"/>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81B"/>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50E"/>
    <w:rsid w:val="0081265C"/>
    <w:rsid w:val="0081313B"/>
    <w:rsid w:val="00813A3A"/>
    <w:rsid w:val="00813DFC"/>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FF0"/>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2B4C"/>
    <w:rsid w:val="008732CE"/>
    <w:rsid w:val="008733E2"/>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4C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FD4"/>
    <w:rsid w:val="00921319"/>
    <w:rsid w:val="00921386"/>
    <w:rsid w:val="00926863"/>
    <w:rsid w:val="00926D7F"/>
    <w:rsid w:val="009307C9"/>
    <w:rsid w:val="0093086E"/>
    <w:rsid w:val="00931F08"/>
    <w:rsid w:val="00932230"/>
    <w:rsid w:val="0093344C"/>
    <w:rsid w:val="009338F2"/>
    <w:rsid w:val="00933F3C"/>
    <w:rsid w:val="00934657"/>
    <w:rsid w:val="00934B63"/>
    <w:rsid w:val="00934C4B"/>
    <w:rsid w:val="009353C2"/>
    <w:rsid w:val="009370E9"/>
    <w:rsid w:val="00937D9B"/>
    <w:rsid w:val="00940E65"/>
    <w:rsid w:val="00940FD6"/>
    <w:rsid w:val="0094115B"/>
    <w:rsid w:val="0094182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7BA"/>
    <w:rsid w:val="00984D24"/>
    <w:rsid w:val="00984DBA"/>
    <w:rsid w:val="0098621E"/>
    <w:rsid w:val="009868E2"/>
    <w:rsid w:val="00987C77"/>
    <w:rsid w:val="00991124"/>
    <w:rsid w:val="009923B6"/>
    <w:rsid w:val="009926EF"/>
    <w:rsid w:val="00993609"/>
    <w:rsid w:val="00994653"/>
    <w:rsid w:val="00994C5F"/>
    <w:rsid w:val="00994E6E"/>
    <w:rsid w:val="0099623B"/>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121"/>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9AE"/>
    <w:rsid w:val="00A323BB"/>
    <w:rsid w:val="00A33284"/>
    <w:rsid w:val="00A34E4A"/>
    <w:rsid w:val="00A36AA7"/>
    <w:rsid w:val="00A372BF"/>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3899"/>
    <w:rsid w:val="00A55B96"/>
    <w:rsid w:val="00A563DB"/>
    <w:rsid w:val="00A56BE5"/>
    <w:rsid w:val="00A56DE0"/>
    <w:rsid w:val="00A57E93"/>
    <w:rsid w:val="00A60DA8"/>
    <w:rsid w:val="00A6137C"/>
    <w:rsid w:val="00A615A6"/>
    <w:rsid w:val="00A623D0"/>
    <w:rsid w:val="00A62B7A"/>
    <w:rsid w:val="00A631EB"/>
    <w:rsid w:val="00A70F20"/>
    <w:rsid w:val="00A711B3"/>
    <w:rsid w:val="00A71C2B"/>
    <w:rsid w:val="00A72E82"/>
    <w:rsid w:val="00A76423"/>
    <w:rsid w:val="00A773D0"/>
    <w:rsid w:val="00A77738"/>
    <w:rsid w:val="00A7786A"/>
    <w:rsid w:val="00A779A2"/>
    <w:rsid w:val="00A80131"/>
    <w:rsid w:val="00A802F8"/>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85E"/>
    <w:rsid w:val="00AC6ECF"/>
    <w:rsid w:val="00AC7B6B"/>
    <w:rsid w:val="00AD1216"/>
    <w:rsid w:val="00AD1BC7"/>
    <w:rsid w:val="00AD4477"/>
    <w:rsid w:val="00AD4F51"/>
    <w:rsid w:val="00AD5285"/>
    <w:rsid w:val="00AD54D3"/>
    <w:rsid w:val="00AD6CB7"/>
    <w:rsid w:val="00AD70E0"/>
    <w:rsid w:val="00AE0028"/>
    <w:rsid w:val="00AE00FE"/>
    <w:rsid w:val="00AE0451"/>
    <w:rsid w:val="00AE0803"/>
    <w:rsid w:val="00AE0ADB"/>
    <w:rsid w:val="00AE2662"/>
    <w:rsid w:val="00AE2AF6"/>
    <w:rsid w:val="00AE3CBD"/>
    <w:rsid w:val="00AE5D21"/>
    <w:rsid w:val="00AE7C5F"/>
    <w:rsid w:val="00AF08A8"/>
    <w:rsid w:val="00AF2019"/>
    <w:rsid w:val="00AF26B7"/>
    <w:rsid w:val="00AF2E13"/>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FC6"/>
    <w:rsid w:val="00B22535"/>
    <w:rsid w:val="00B2441D"/>
    <w:rsid w:val="00B24E10"/>
    <w:rsid w:val="00B25E7E"/>
    <w:rsid w:val="00B2670C"/>
    <w:rsid w:val="00B310C1"/>
    <w:rsid w:val="00B32231"/>
    <w:rsid w:val="00B3468F"/>
    <w:rsid w:val="00B35E99"/>
    <w:rsid w:val="00B3764F"/>
    <w:rsid w:val="00B41334"/>
    <w:rsid w:val="00B41FEE"/>
    <w:rsid w:val="00B43080"/>
    <w:rsid w:val="00B431B1"/>
    <w:rsid w:val="00B43E73"/>
    <w:rsid w:val="00B4464A"/>
    <w:rsid w:val="00B44C1E"/>
    <w:rsid w:val="00B44FFE"/>
    <w:rsid w:val="00B45AE1"/>
    <w:rsid w:val="00B460A9"/>
    <w:rsid w:val="00B4642E"/>
    <w:rsid w:val="00B4729B"/>
    <w:rsid w:val="00B50D6B"/>
    <w:rsid w:val="00B5110E"/>
    <w:rsid w:val="00B534D5"/>
    <w:rsid w:val="00B536E6"/>
    <w:rsid w:val="00B54876"/>
    <w:rsid w:val="00B56945"/>
    <w:rsid w:val="00B56D46"/>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EFB"/>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531"/>
    <w:rsid w:val="00BC1037"/>
    <w:rsid w:val="00BC2F0B"/>
    <w:rsid w:val="00BC3206"/>
    <w:rsid w:val="00BC4832"/>
    <w:rsid w:val="00BC5451"/>
    <w:rsid w:val="00BC5744"/>
    <w:rsid w:val="00BC5B8A"/>
    <w:rsid w:val="00BD1613"/>
    <w:rsid w:val="00BD2CF8"/>
    <w:rsid w:val="00BD3AB4"/>
    <w:rsid w:val="00BD6020"/>
    <w:rsid w:val="00BD6932"/>
    <w:rsid w:val="00BD6D24"/>
    <w:rsid w:val="00BE049B"/>
    <w:rsid w:val="00BE0825"/>
    <w:rsid w:val="00BE13CB"/>
    <w:rsid w:val="00BE1F9E"/>
    <w:rsid w:val="00BE2557"/>
    <w:rsid w:val="00BE2BF8"/>
    <w:rsid w:val="00BE3B1E"/>
    <w:rsid w:val="00BE46F4"/>
    <w:rsid w:val="00BE4F54"/>
    <w:rsid w:val="00BE503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09E7"/>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EBC"/>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6519"/>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558"/>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67FC4"/>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AF2"/>
    <w:rsid w:val="00DA63F5"/>
    <w:rsid w:val="00DA6F09"/>
    <w:rsid w:val="00DA7A9F"/>
    <w:rsid w:val="00DB02EB"/>
    <w:rsid w:val="00DB1960"/>
    <w:rsid w:val="00DB1E72"/>
    <w:rsid w:val="00DB2C4B"/>
    <w:rsid w:val="00DB2CAA"/>
    <w:rsid w:val="00DB4C6F"/>
    <w:rsid w:val="00DB61E7"/>
    <w:rsid w:val="00DB6C3C"/>
    <w:rsid w:val="00DB7F09"/>
    <w:rsid w:val="00DC18A5"/>
    <w:rsid w:val="00DC1D8C"/>
    <w:rsid w:val="00DC231D"/>
    <w:rsid w:val="00DC31BF"/>
    <w:rsid w:val="00DC33EF"/>
    <w:rsid w:val="00DC4911"/>
    <w:rsid w:val="00DC7EFD"/>
    <w:rsid w:val="00DD0121"/>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50C"/>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0FF"/>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78C"/>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50F"/>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BC5"/>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5A0C"/>
    <w:rsid w:val="00F7660F"/>
    <w:rsid w:val="00F768AD"/>
    <w:rsid w:val="00F76B75"/>
    <w:rsid w:val="00F774EE"/>
    <w:rsid w:val="00F77EB8"/>
    <w:rsid w:val="00F8493A"/>
    <w:rsid w:val="00F86AAC"/>
    <w:rsid w:val="00F86D14"/>
    <w:rsid w:val="00F87716"/>
    <w:rsid w:val="00F87E26"/>
    <w:rsid w:val="00F909A2"/>
    <w:rsid w:val="00F90B02"/>
    <w:rsid w:val="00F921FF"/>
    <w:rsid w:val="00F93148"/>
    <w:rsid w:val="00F9442E"/>
    <w:rsid w:val="00F944F3"/>
    <w:rsid w:val="00F946F6"/>
    <w:rsid w:val="00F94F26"/>
    <w:rsid w:val="00F9516C"/>
    <w:rsid w:val="00F9576A"/>
    <w:rsid w:val="00F95E3F"/>
    <w:rsid w:val="00F96F02"/>
    <w:rsid w:val="00F973EA"/>
    <w:rsid w:val="00F97EEE"/>
    <w:rsid w:val="00FA0392"/>
    <w:rsid w:val="00FA0CF8"/>
    <w:rsid w:val="00FA1071"/>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F8A"/>
    <w:rsid w:val="00FD42FF"/>
    <w:rsid w:val="00FD4B6C"/>
    <w:rsid w:val="00FD5199"/>
    <w:rsid w:val="00FD7CCF"/>
    <w:rsid w:val="00FE0756"/>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 w:type="paragraph" w:customStyle="1" w:styleId="TextEntryLine">
    <w:name w:val="TextEntryLine"/>
    <w:basedOn w:val="Normale"/>
    <w:qFormat/>
    <w:rsid w:val="000332AF"/>
    <w:pPr>
      <w:spacing w:before="240" w:after="0"/>
    </w:pPr>
    <w:rPr>
      <w:rFonts w:eastAsiaTheme="minorEastAsia"/>
      <w:kern w:val="0"/>
      <w:sz w:val="22"/>
      <w:szCs w:val="22"/>
      <w:lang w:val="en-US"/>
      <w14:ligatures w14:val="none"/>
    </w:rPr>
  </w:style>
  <w:style w:type="paragraph" w:customStyle="1" w:styleId="TextEntryLine1">
    <w:name w:val="TextEntryLine_1"/>
    <w:qFormat/>
    <w:rsid w:val="000332AF"/>
    <w:pPr>
      <w:spacing w:before="240"/>
    </w:pPr>
    <w:rPr>
      <w:rFonts w:eastAsiaTheme="minorEastAsia"/>
      <w:kern w:val="0"/>
      <w:sz w:val="22"/>
      <w:szCs w:val="22"/>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568206">
      <w:bodyDiv w:val="1"/>
      <w:marLeft w:val="0"/>
      <w:marRight w:val="0"/>
      <w:marTop w:val="0"/>
      <w:marBottom w:val="0"/>
      <w:divBdr>
        <w:top w:val="none" w:sz="0" w:space="0" w:color="auto"/>
        <w:left w:val="none" w:sz="0" w:space="0" w:color="auto"/>
        <w:bottom w:val="none" w:sz="0" w:space="0" w:color="auto"/>
        <w:right w:val="none" w:sz="0" w:space="0" w:color="auto"/>
      </w:divBdr>
    </w:div>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18490523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045394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3426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278906">
      <w:bodyDiv w:val="1"/>
      <w:marLeft w:val="0"/>
      <w:marRight w:val="0"/>
      <w:marTop w:val="0"/>
      <w:marBottom w:val="0"/>
      <w:divBdr>
        <w:top w:val="none" w:sz="0" w:space="0" w:color="auto"/>
        <w:left w:val="none" w:sz="0" w:space="0" w:color="auto"/>
        <w:bottom w:val="none" w:sz="0" w:space="0" w:color="auto"/>
        <w:right w:val="none" w:sz="0" w:space="0" w:color="auto"/>
      </w:divBdr>
    </w:div>
    <w:div w:id="1597715906">
      <w:bodyDiv w:val="1"/>
      <w:marLeft w:val="0"/>
      <w:marRight w:val="0"/>
      <w:marTop w:val="0"/>
      <w:marBottom w:val="0"/>
      <w:divBdr>
        <w:top w:val="none" w:sz="0" w:space="0" w:color="auto"/>
        <w:left w:val="none" w:sz="0" w:space="0" w:color="auto"/>
        <w:bottom w:val="none" w:sz="0" w:space="0" w:color="auto"/>
        <w:right w:val="none" w:sz="0" w:space="0" w:color="auto"/>
      </w:divBdr>
    </w:div>
    <w:div w:id="1678385977">
      <w:bodyDiv w:val="1"/>
      <w:marLeft w:val="0"/>
      <w:marRight w:val="0"/>
      <w:marTop w:val="0"/>
      <w:marBottom w:val="0"/>
      <w:divBdr>
        <w:top w:val="none" w:sz="0" w:space="0" w:color="auto"/>
        <w:left w:val="none" w:sz="0" w:space="0" w:color="auto"/>
        <w:bottom w:val="none" w:sz="0" w:space="0" w:color="auto"/>
        <w:right w:val="none" w:sz="0" w:space="0" w:color="auto"/>
      </w:divBdr>
    </w:div>
    <w:div w:id="1725786418">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5952658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4732/https://www.gazzettaufficiale.it/eli/id/2019/11/28/19A07378/s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115</Pages>
  <Words>23989</Words>
  <Characters>136743</Characters>
  <DocSecurity>0</DocSecurity>
  <Lines>1139</Lines>
  <Paragraphs>320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160412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2025-07-04T13:51:00Z</dcterms:created>
  <dcterms:modified xsi:type="dcterms:W3CDTF">2025-07-07T20:51:00Z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